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0254FD9D" w14:textId="77777777" w:rsidTr="003C0138">
        <w:tc>
          <w:tcPr>
            <w:tcW w:w="1980" w:type="dxa"/>
          </w:tcPr>
          <w:p w14:paraId="3E102060" w14:textId="77777777" w:rsidR="001203BA" w:rsidRPr="00B07AC9" w:rsidRDefault="001203BA" w:rsidP="003C0138">
            <w:pPr>
              <w:rPr>
                <w:b/>
                <w:sz w:val="32"/>
                <w:szCs w:val="32"/>
                <w:lang w:val="nl-BE"/>
              </w:rPr>
            </w:pPr>
            <w:r w:rsidRPr="00B07AC9">
              <w:rPr>
                <w:b/>
                <w:sz w:val="32"/>
                <w:szCs w:val="32"/>
                <w:lang w:val="nl-BE"/>
              </w:rPr>
              <w:t xml:space="preserve">ARTIKEL </w:t>
            </w:r>
            <w:r w:rsidR="00E21F8D">
              <w:rPr>
                <w:b/>
                <w:sz w:val="32"/>
                <w:szCs w:val="32"/>
                <w:lang w:val="nl-BE"/>
              </w:rPr>
              <w:t>1:13</w:t>
            </w:r>
          </w:p>
        </w:tc>
        <w:tc>
          <w:tcPr>
            <w:tcW w:w="11765" w:type="dxa"/>
            <w:gridSpan w:val="2"/>
            <w:shd w:val="clear" w:color="auto" w:fill="auto"/>
          </w:tcPr>
          <w:p w14:paraId="0BB6E3FC"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60BDD2E5" w14:textId="77777777" w:rsidTr="003C0138">
        <w:tc>
          <w:tcPr>
            <w:tcW w:w="1980" w:type="dxa"/>
          </w:tcPr>
          <w:p w14:paraId="119212F4" w14:textId="77777777" w:rsidR="001203BA" w:rsidRPr="00B07AC9" w:rsidRDefault="001203BA" w:rsidP="003C0138">
            <w:pPr>
              <w:rPr>
                <w:b/>
                <w:sz w:val="32"/>
                <w:szCs w:val="32"/>
                <w:lang w:val="nl-BE"/>
              </w:rPr>
            </w:pPr>
          </w:p>
        </w:tc>
        <w:tc>
          <w:tcPr>
            <w:tcW w:w="11765" w:type="dxa"/>
            <w:gridSpan w:val="2"/>
            <w:shd w:val="clear" w:color="auto" w:fill="auto"/>
          </w:tcPr>
          <w:p w14:paraId="2BEDE6D9"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5E0B6F" w14:paraId="28FD340F" w14:textId="77777777" w:rsidTr="00294963">
        <w:trPr>
          <w:trHeight w:val="1653"/>
        </w:trPr>
        <w:tc>
          <w:tcPr>
            <w:tcW w:w="1980" w:type="dxa"/>
          </w:tcPr>
          <w:p w14:paraId="6D5080A4" w14:textId="13A4815A" w:rsidR="001203BA" w:rsidRDefault="001203BA" w:rsidP="003C0138">
            <w:pPr>
              <w:spacing w:after="0" w:line="240" w:lineRule="auto"/>
              <w:jc w:val="both"/>
              <w:rPr>
                <w:rFonts w:cs="Calibri"/>
                <w:lang w:val="nl-BE"/>
              </w:rPr>
            </w:pPr>
            <w:r w:rsidRPr="00E159A1">
              <w:rPr>
                <w:rFonts w:cs="Calibri"/>
                <w:lang w:val="nl-BE"/>
              </w:rPr>
              <w:t>WVV</w:t>
            </w:r>
          </w:p>
        </w:tc>
        <w:tc>
          <w:tcPr>
            <w:tcW w:w="5812" w:type="dxa"/>
            <w:shd w:val="clear" w:color="auto" w:fill="auto"/>
          </w:tcPr>
          <w:p w14:paraId="44641188" w14:textId="77777777" w:rsidR="00E21F8D" w:rsidRPr="00E21F8D" w:rsidRDefault="00E21F8D" w:rsidP="003C0138">
            <w:pPr>
              <w:spacing w:after="0" w:line="240" w:lineRule="auto"/>
              <w:jc w:val="both"/>
              <w:rPr>
                <w:rFonts w:cs="Calibri"/>
                <w:lang w:val="nl-BE"/>
              </w:rPr>
            </w:pPr>
            <w:r w:rsidRPr="00E21F8D">
              <w:rPr>
                <w:lang w:val="nl-BE"/>
              </w:rPr>
              <w:t>Onder "verordening (EU) nr. 537/2014" wordt verstaan: de verordening (EU) nr. 537/2014 van het Europees Parlement en de Raad van 16 april 2014 betreffende specifieke eisen voor de wettelijke controle van financiële overzichten van organisaties van openbaar belang en tot intrekking van Besluit 2005/909/EG van de Commissie.</w:t>
            </w:r>
          </w:p>
        </w:tc>
        <w:tc>
          <w:tcPr>
            <w:tcW w:w="5953" w:type="dxa"/>
            <w:shd w:val="clear" w:color="auto" w:fill="auto"/>
          </w:tcPr>
          <w:p w14:paraId="4E017548" w14:textId="77777777" w:rsidR="00E21F8D" w:rsidRPr="00E21F8D" w:rsidRDefault="00E21F8D" w:rsidP="003C0138">
            <w:pPr>
              <w:spacing w:after="0" w:line="240" w:lineRule="auto"/>
              <w:jc w:val="both"/>
              <w:rPr>
                <w:rFonts w:cs="Calibri"/>
                <w:lang w:val="fr-FR"/>
              </w:rPr>
            </w:pPr>
            <w:r w:rsidRPr="00E21F8D">
              <w:rPr>
                <w:lang w:val="fr-FR"/>
              </w:rPr>
              <w:t>Par "règlement (UE) n° 537/2014", il faut entendre: le règlement (UE) n° 537/2014 du Parlement européen et du Conseil du 16 avril 2014 relatif aux exigences spécifiques applicables au contrôle légal des comptes des entités d'intérêt public et abrogeant la décision 2005/909/CE de la Commission.</w:t>
            </w:r>
          </w:p>
        </w:tc>
      </w:tr>
      <w:tr w:rsidR="00A20653" w:rsidRPr="005E0B6F" w14:paraId="7C366421" w14:textId="77777777" w:rsidTr="00294963">
        <w:trPr>
          <w:trHeight w:val="1653"/>
        </w:trPr>
        <w:tc>
          <w:tcPr>
            <w:tcW w:w="1980" w:type="dxa"/>
          </w:tcPr>
          <w:p w14:paraId="0EDAF017" w14:textId="4B22AA7D" w:rsidR="00A20653" w:rsidRDefault="00E159A1" w:rsidP="003C0138">
            <w:pPr>
              <w:spacing w:after="0" w:line="240" w:lineRule="auto"/>
              <w:jc w:val="both"/>
              <w:rPr>
                <w:rFonts w:cs="Calibri"/>
                <w:lang w:val="nl-BE"/>
              </w:rPr>
            </w:pPr>
            <w:hyperlink r:id="rId4" w:history="1">
              <w:r w:rsidR="00A20653" w:rsidRPr="0075545C">
                <w:rPr>
                  <w:rStyle w:val="Hyperlink"/>
                  <w:rFonts w:cs="Calibri"/>
                  <w:lang w:val="fr-FR"/>
                </w:rPr>
                <w:t>Ontwerp</w:t>
              </w:r>
            </w:hyperlink>
          </w:p>
        </w:tc>
        <w:tc>
          <w:tcPr>
            <w:tcW w:w="5812" w:type="dxa"/>
            <w:shd w:val="clear" w:color="auto" w:fill="auto"/>
          </w:tcPr>
          <w:p w14:paraId="00395B4E" w14:textId="06B5A3D2" w:rsidR="00A20653" w:rsidRPr="00E21F8D" w:rsidRDefault="00A20653" w:rsidP="003C0138">
            <w:pPr>
              <w:spacing w:after="0" w:line="240" w:lineRule="auto"/>
              <w:jc w:val="both"/>
              <w:rPr>
                <w:lang w:val="nl-BE"/>
              </w:rPr>
            </w:pPr>
            <w:r w:rsidRPr="004337D4">
              <w:rPr>
                <w:lang w:val="nl-BE"/>
              </w:rPr>
              <w:t>Art. 1:13. Onder “verordening (EU) nr. 537/2014” wordt verstaan: de verordening (EU) nr. 537/2014 van het Europees Parlement en de Raad van 16 april 2014 betreffende specifieke eisen voor de wettelijke controle van financiële overzichten van organisaties van openbaar belang en tot intrekking van Besluit 2005/909/EG van de Commissie.</w:t>
            </w:r>
          </w:p>
        </w:tc>
        <w:tc>
          <w:tcPr>
            <w:tcW w:w="5953" w:type="dxa"/>
            <w:shd w:val="clear" w:color="auto" w:fill="auto"/>
          </w:tcPr>
          <w:p w14:paraId="3370749C" w14:textId="015A525C" w:rsidR="00A20653" w:rsidRPr="00E21F8D" w:rsidRDefault="00A20653" w:rsidP="003C0138">
            <w:pPr>
              <w:spacing w:after="0" w:line="240" w:lineRule="auto"/>
              <w:jc w:val="both"/>
              <w:rPr>
                <w:lang w:val="fr-FR"/>
              </w:rPr>
            </w:pPr>
            <w:r w:rsidRPr="004337D4">
              <w:rPr>
                <w:lang w:val="fr-FR"/>
              </w:rPr>
              <w:t>Art. 1:13. Par « règlement (UE) n° 537/2014 », il faut entendre: le règlement (UE) n° 537/2014 du Parlement européen et du Conseil du 16 avril 2014 relatif aux exigences spécifiques applicables au contrôle légal des comptes des entités d’intérêt public et abrogeant la décision 2005/909/CE de la Commission.</w:t>
            </w:r>
          </w:p>
        </w:tc>
      </w:tr>
      <w:tr w:rsidR="00A20653" w:rsidRPr="005E0B6F" w14:paraId="2C8B350D" w14:textId="77777777" w:rsidTr="00294963">
        <w:trPr>
          <w:trHeight w:val="1690"/>
        </w:trPr>
        <w:tc>
          <w:tcPr>
            <w:tcW w:w="1980" w:type="dxa"/>
          </w:tcPr>
          <w:p w14:paraId="14C2E251" w14:textId="49B8D1F7" w:rsidR="00A20653" w:rsidRPr="00495CF6" w:rsidRDefault="00E159A1" w:rsidP="003C0138">
            <w:pPr>
              <w:spacing w:after="0" w:line="240" w:lineRule="auto"/>
              <w:jc w:val="both"/>
              <w:rPr>
                <w:rFonts w:cs="Calibri"/>
                <w:lang w:val="fr-FR"/>
              </w:rPr>
            </w:pPr>
            <w:hyperlink r:id="rId5" w:history="1">
              <w:r w:rsidR="00A20653" w:rsidRPr="00FE2BB9">
                <w:rPr>
                  <w:rStyle w:val="Hyperlink"/>
                  <w:rFonts w:cs="Calibri"/>
                  <w:lang w:val="fr-FR"/>
                </w:rPr>
                <w:t>Voorontwerp</w:t>
              </w:r>
            </w:hyperlink>
          </w:p>
        </w:tc>
        <w:tc>
          <w:tcPr>
            <w:tcW w:w="5812" w:type="dxa"/>
            <w:shd w:val="clear" w:color="auto" w:fill="auto"/>
          </w:tcPr>
          <w:p w14:paraId="1371001D" w14:textId="77777777" w:rsidR="00A20653" w:rsidRPr="00495CF6" w:rsidRDefault="00A20653" w:rsidP="003C0138">
            <w:pPr>
              <w:spacing w:after="0" w:line="240" w:lineRule="auto"/>
              <w:jc w:val="both"/>
              <w:rPr>
                <w:lang w:val="nl-BE"/>
              </w:rPr>
            </w:pPr>
            <w:r w:rsidRPr="00495CF6">
              <w:rPr>
                <w:lang w:val="nl-BE"/>
              </w:rPr>
              <w:t>Art. 1:13. Onder “verordening (EU) nr. 537/2014” wordt verstaan: de verordening (EU) nr. 537/2014 van het Europees Parlement en de Raad van 16 april 2014 betreffende specifieke eisen voor de wettelijke controle van financiële overzichten van organisaties van openbaar belang en tot intrekking van Besluit 2005/909/EG van de Commissie.</w:t>
            </w:r>
          </w:p>
        </w:tc>
        <w:tc>
          <w:tcPr>
            <w:tcW w:w="5953" w:type="dxa"/>
            <w:shd w:val="clear" w:color="auto" w:fill="auto"/>
          </w:tcPr>
          <w:p w14:paraId="711E2556" w14:textId="77777777" w:rsidR="00A20653" w:rsidRPr="00495CF6" w:rsidRDefault="00A20653" w:rsidP="003C0138">
            <w:pPr>
              <w:spacing w:after="0" w:line="240" w:lineRule="auto"/>
              <w:jc w:val="both"/>
              <w:rPr>
                <w:lang w:val="fr-FR"/>
              </w:rPr>
            </w:pPr>
            <w:r w:rsidRPr="00495CF6">
              <w:rPr>
                <w:lang w:val="fr-FR"/>
              </w:rPr>
              <w:t>Art. 1:13. Par « règlement (UE) n° 537/2014 », il faut entendre: le règlement (UE) n° 537/2014 du Parlement européen et du Conseil du 16 avril 2014 relatif aux exigences spécifiques applicables au contrôle légal des comptes des entités d’intérêt public et abrogeant la décision 2005/909/CE de la Commission.</w:t>
            </w:r>
          </w:p>
        </w:tc>
      </w:tr>
      <w:tr w:rsidR="00A20653" w:rsidRPr="00294963" w14:paraId="5B4D78A4" w14:textId="77777777" w:rsidTr="00294963">
        <w:trPr>
          <w:trHeight w:val="349"/>
        </w:trPr>
        <w:tc>
          <w:tcPr>
            <w:tcW w:w="1980" w:type="dxa"/>
          </w:tcPr>
          <w:p w14:paraId="21062C87" w14:textId="05D8EF1D" w:rsidR="00A20653" w:rsidRDefault="00E159A1" w:rsidP="003C0138">
            <w:pPr>
              <w:spacing w:after="0" w:line="240" w:lineRule="auto"/>
              <w:jc w:val="both"/>
              <w:rPr>
                <w:rFonts w:cs="Calibri"/>
                <w:lang w:val="fr-FR"/>
              </w:rPr>
            </w:pPr>
            <w:hyperlink r:id="rId6" w:history="1">
              <w:r w:rsidR="00A20653" w:rsidRPr="00794DFA">
                <w:rPr>
                  <w:rStyle w:val="Hyperlink"/>
                  <w:rFonts w:cs="Calibri"/>
                  <w:lang w:val="fr-FR"/>
                </w:rPr>
                <w:t>MvT</w:t>
              </w:r>
            </w:hyperlink>
          </w:p>
        </w:tc>
        <w:tc>
          <w:tcPr>
            <w:tcW w:w="5812" w:type="dxa"/>
            <w:shd w:val="clear" w:color="auto" w:fill="auto"/>
          </w:tcPr>
          <w:p w14:paraId="04E70712" w14:textId="77777777" w:rsidR="00A20653" w:rsidRPr="002404EE" w:rsidRDefault="00A20653" w:rsidP="003C0138">
            <w:pPr>
              <w:spacing w:after="0" w:line="240" w:lineRule="auto"/>
              <w:jc w:val="both"/>
              <w:rPr>
                <w:lang w:val="nl-BE"/>
              </w:rPr>
            </w:pPr>
            <w:r w:rsidRPr="002404EE">
              <w:rPr>
                <w:lang w:val="nl-BE"/>
              </w:rPr>
              <w:t>Deze artikelen hernemen de artikelen 4/1 en 4/2 W.Venn.</w:t>
            </w:r>
          </w:p>
        </w:tc>
        <w:tc>
          <w:tcPr>
            <w:tcW w:w="5953" w:type="dxa"/>
            <w:shd w:val="clear" w:color="auto" w:fill="auto"/>
          </w:tcPr>
          <w:p w14:paraId="2E06F0B7" w14:textId="77777777" w:rsidR="00A20653" w:rsidRPr="002404EE" w:rsidRDefault="00A20653" w:rsidP="003C0138">
            <w:pPr>
              <w:spacing w:after="0" w:line="240" w:lineRule="auto"/>
              <w:jc w:val="both"/>
              <w:rPr>
                <w:lang w:val="fr-FR"/>
              </w:rPr>
            </w:pPr>
            <w:r w:rsidRPr="002404EE">
              <w:rPr>
                <w:lang w:val="fr-FR"/>
              </w:rPr>
              <w:t>Ces articles reprennent les articles 4/1 et 4/2 C. Soc.</w:t>
            </w:r>
          </w:p>
        </w:tc>
      </w:tr>
      <w:tr w:rsidR="00A20653" w:rsidRPr="004337D4" w14:paraId="45E6FA28" w14:textId="77777777" w:rsidTr="00294963">
        <w:trPr>
          <w:trHeight w:val="404"/>
        </w:trPr>
        <w:tc>
          <w:tcPr>
            <w:tcW w:w="1980" w:type="dxa"/>
          </w:tcPr>
          <w:p w14:paraId="461A1574" w14:textId="3A7F79AF" w:rsidR="00A20653" w:rsidRDefault="00E159A1" w:rsidP="003C0138">
            <w:pPr>
              <w:spacing w:after="0" w:line="240" w:lineRule="auto"/>
              <w:jc w:val="both"/>
              <w:rPr>
                <w:rFonts w:cs="Calibri"/>
                <w:lang w:val="fr-FR"/>
              </w:rPr>
            </w:pPr>
            <w:hyperlink r:id="rId7" w:history="1">
              <w:r w:rsidR="00A20653" w:rsidRPr="000A11F8">
                <w:rPr>
                  <w:rStyle w:val="Hyperlink"/>
                  <w:rFonts w:cs="Calibri"/>
                  <w:lang w:val="fr-FR"/>
                </w:rPr>
                <w:t>RvSt</w:t>
              </w:r>
            </w:hyperlink>
          </w:p>
        </w:tc>
        <w:tc>
          <w:tcPr>
            <w:tcW w:w="5812" w:type="dxa"/>
            <w:shd w:val="clear" w:color="auto" w:fill="auto"/>
          </w:tcPr>
          <w:p w14:paraId="71B5CFDD" w14:textId="77777777" w:rsidR="00A20653" w:rsidRPr="004337D4" w:rsidRDefault="00A20653" w:rsidP="003C0138">
            <w:pPr>
              <w:spacing w:after="0" w:line="240" w:lineRule="auto"/>
              <w:jc w:val="both"/>
              <w:rPr>
                <w:lang w:val="fr-FR"/>
              </w:rPr>
            </w:pPr>
            <w:r>
              <w:rPr>
                <w:lang w:val="fr-FR"/>
              </w:rPr>
              <w:t>Geen opmerkingen.</w:t>
            </w:r>
          </w:p>
        </w:tc>
        <w:tc>
          <w:tcPr>
            <w:tcW w:w="5953" w:type="dxa"/>
            <w:shd w:val="clear" w:color="auto" w:fill="auto"/>
          </w:tcPr>
          <w:p w14:paraId="66F4517C" w14:textId="77777777" w:rsidR="00A20653" w:rsidRPr="00495CF6" w:rsidRDefault="00A20653" w:rsidP="003C0138">
            <w:pPr>
              <w:spacing w:after="0" w:line="240" w:lineRule="auto"/>
              <w:jc w:val="both"/>
              <w:rPr>
                <w:lang w:val="fr-FR"/>
              </w:rPr>
            </w:pPr>
            <w:r>
              <w:rPr>
                <w:lang w:val="fr-FR"/>
              </w:rPr>
              <w:t>Pas de remarques.</w:t>
            </w:r>
          </w:p>
        </w:tc>
      </w:tr>
    </w:tbl>
    <w:p w14:paraId="4917B0E4" w14:textId="77777777" w:rsidR="00A820D7" w:rsidRPr="00495CF6" w:rsidRDefault="00A820D7">
      <w:pPr>
        <w:rPr>
          <w:lang w:val="fr-FR"/>
        </w:rPr>
      </w:pPr>
    </w:p>
    <w:sectPr w:rsidR="00A820D7" w:rsidRPr="00495CF6"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A11F8"/>
    <w:rsid w:val="000E14C5"/>
    <w:rsid w:val="001203BA"/>
    <w:rsid w:val="00210B2F"/>
    <w:rsid w:val="002404EE"/>
    <w:rsid w:val="00294963"/>
    <w:rsid w:val="002F7950"/>
    <w:rsid w:val="003A1C6D"/>
    <w:rsid w:val="004337D4"/>
    <w:rsid w:val="00495CF6"/>
    <w:rsid w:val="005E0B6F"/>
    <w:rsid w:val="006372E8"/>
    <w:rsid w:val="006D53CD"/>
    <w:rsid w:val="0075545C"/>
    <w:rsid w:val="00794DFA"/>
    <w:rsid w:val="009033EE"/>
    <w:rsid w:val="009172D4"/>
    <w:rsid w:val="00961D34"/>
    <w:rsid w:val="009D0B3E"/>
    <w:rsid w:val="00A20653"/>
    <w:rsid w:val="00A820D7"/>
    <w:rsid w:val="00B779CF"/>
    <w:rsid w:val="00D13B70"/>
    <w:rsid w:val="00D26456"/>
    <w:rsid w:val="00E159A1"/>
    <w:rsid w:val="00E21F8D"/>
    <w:rsid w:val="00E511E0"/>
    <w:rsid w:val="00F74E3F"/>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70F4"/>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3B70"/>
    <w:rPr>
      <w:color w:val="0563C1" w:themeColor="hyperlink"/>
      <w:u w:val="single"/>
    </w:rPr>
  </w:style>
  <w:style w:type="character" w:styleId="Onopgelostemelding">
    <w:name w:val="Unresolved Mention"/>
    <w:basedOn w:val="Standaardalinea-lettertype"/>
    <w:uiPriority w:val="99"/>
    <w:rsid w:val="005E0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8</cp:revision>
  <dcterms:created xsi:type="dcterms:W3CDTF">2024-02-17T17:32:00Z</dcterms:created>
  <dcterms:modified xsi:type="dcterms:W3CDTF">2024-05-29T07:34:00Z</dcterms:modified>
</cp:coreProperties>
</file>