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670"/>
        <w:gridCol w:w="5953"/>
      </w:tblGrid>
      <w:tr w:rsidR="000D42B6" w:rsidRPr="009F286F" w14:paraId="6297F5BC" w14:textId="77777777" w:rsidTr="00D547AD">
        <w:tc>
          <w:tcPr>
            <w:tcW w:w="2122" w:type="dxa"/>
          </w:tcPr>
          <w:p w14:paraId="04974EB5" w14:textId="77777777" w:rsidR="003C1279" w:rsidRPr="00B07AC9" w:rsidRDefault="000D42B6" w:rsidP="00520F98">
            <w:pPr>
              <w:rPr>
                <w:b/>
                <w:sz w:val="32"/>
                <w:szCs w:val="32"/>
                <w:lang w:val="nl-BE"/>
              </w:rPr>
            </w:pPr>
            <w:r w:rsidRPr="00B07AC9">
              <w:rPr>
                <w:b/>
                <w:sz w:val="32"/>
                <w:szCs w:val="32"/>
                <w:lang w:val="nl-BE"/>
              </w:rPr>
              <w:t xml:space="preserve">ARTIKEL </w:t>
            </w:r>
            <w:r w:rsidR="00CB4481">
              <w:rPr>
                <w:b/>
                <w:sz w:val="32"/>
                <w:szCs w:val="32"/>
                <w:lang w:val="nl-BE"/>
              </w:rPr>
              <w:t>10:6</w:t>
            </w:r>
            <w:r w:rsidR="00EE0607">
              <w:rPr>
                <w:b/>
                <w:sz w:val="32"/>
                <w:szCs w:val="32"/>
                <w:lang w:val="nl-BE"/>
              </w:rPr>
              <w:t>/1</w:t>
            </w:r>
          </w:p>
        </w:tc>
        <w:tc>
          <w:tcPr>
            <w:tcW w:w="11623" w:type="dxa"/>
            <w:gridSpan w:val="2"/>
            <w:shd w:val="clear" w:color="auto" w:fill="auto"/>
          </w:tcPr>
          <w:p w14:paraId="3BB324CF" w14:textId="77777777" w:rsidR="000D42B6" w:rsidRPr="00382324" w:rsidRDefault="000D42B6" w:rsidP="000D42B6">
            <w:pPr>
              <w:rPr>
                <w:rFonts w:asciiTheme="majorHAnsi" w:eastAsiaTheme="majorEastAsia" w:hAnsiTheme="majorHAnsi" w:cstheme="majorBidi"/>
                <w:b/>
                <w:bCs/>
                <w:color w:val="2E74B5" w:themeColor="accent1" w:themeShade="BF"/>
                <w:sz w:val="32"/>
                <w:szCs w:val="28"/>
                <w:lang w:val="nl-BE"/>
              </w:rPr>
            </w:pPr>
          </w:p>
        </w:tc>
      </w:tr>
      <w:tr w:rsidR="005B33B1" w:rsidRPr="009F286F" w14:paraId="38FE122C" w14:textId="77777777" w:rsidTr="00D547AD">
        <w:tc>
          <w:tcPr>
            <w:tcW w:w="2122" w:type="dxa"/>
          </w:tcPr>
          <w:p w14:paraId="7ABB13A5" w14:textId="77777777" w:rsidR="005B33B1" w:rsidRPr="00B07AC9" w:rsidRDefault="005B33B1" w:rsidP="000D42B6">
            <w:pPr>
              <w:rPr>
                <w:b/>
                <w:sz w:val="32"/>
                <w:szCs w:val="32"/>
                <w:lang w:val="nl-BE"/>
              </w:rPr>
            </w:pPr>
          </w:p>
        </w:tc>
        <w:tc>
          <w:tcPr>
            <w:tcW w:w="11623" w:type="dxa"/>
            <w:gridSpan w:val="2"/>
            <w:shd w:val="clear" w:color="auto" w:fill="auto"/>
          </w:tcPr>
          <w:p w14:paraId="75EDA5C9" w14:textId="77777777" w:rsidR="005B33B1" w:rsidRPr="00382324" w:rsidRDefault="005B33B1" w:rsidP="000D42B6">
            <w:pPr>
              <w:rPr>
                <w:rFonts w:asciiTheme="majorHAnsi" w:eastAsiaTheme="majorEastAsia" w:hAnsiTheme="majorHAnsi" w:cstheme="majorBidi"/>
                <w:b/>
                <w:bCs/>
                <w:color w:val="2E74B5" w:themeColor="accent1" w:themeShade="BF"/>
                <w:sz w:val="32"/>
                <w:szCs w:val="28"/>
                <w:lang w:val="nl-BE"/>
              </w:rPr>
            </w:pPr>
          </w:p>
        </w:tc>
      </w:tr>
      <w:tr w:rsidR="00CB4481" w:rsidRPr="00DB4452" w14:paraId="153C78B7" w14:textId="77777777" w:rsidTr="002D5C80">
        <w:trPr>
          <w:trHeight w:val="377"/>
        </w:trPr>
        <w:tc>
          <w:tcPr>
            <w:tcW w:w="2122" w:type="dxa"/>
          </w:tcPr>
          <w:p w14:paraId="060BE918" w14:textId="1A06AAC0" w:rsidR="00CB4481" w:rsidRDefault="00CB4481" w:rsidP="00CB4481">
            <w:pPr>
              <w:spacing w:after="0" w:line="240" w:lineRule="auto"/>
              <w:jc w:val="both"/>
              <w:rPr>
                <w:rFonts w:cs="Calibri"/>
                <w:lang w:val="nl-BE"/>
              </w:rPr>
            </w:pPr>
            <w:r w:rsidRPr="00697004">
              <w:rPr>
                <w:rFonts w:cs="Calibri"/>
                <w:lang w:val="nl-BE"/>
              </w:rPr>
              <w:t>WVV</w:t>
            </w:r>
          </w:p>
        </w:tc>
        <w:tc>
          <w:tcPr>
            <w:tcW w:w="5670" w:type="dxa"/>
            <w:shd w:val="clear" w:color="auto" w:fill="auto"/>
          </w:tcPr>
          <w:p w14:paraId="11F9FFA9" w14:textId="7F7DFFB6" w:rsidR="00CB4481" w:rsidRPr="00CC3C54" w:rsidRDefault="00CC3C54" w:rsidP="00CC3C54">
            <w:pPr>
              <w:spacing w:after="0" w:line="240" w:lineRule="auto"/>
              <w:jc w:val="both"/>
              <w:rPr>
                <w:rFonts w:eastAsia="Times New Roman" w:cs="Times New Roman"/>
                <w:lang w:val="nl-NL" w:eastAsia="nl-NL"/>
              </w:rPr>
            </w:pPr>
            <w:r w:rsidRPr="00CC3C54">
              <w:rPr>
                <w:rFonts w:eastAsia="Times New Roman" w:cs="Times New Roman"/>
                <w:bCs/>
                <w:color w:val="000000"/>
                <w:lang w:val="nl-NL" w:eastAsia="nl-NL"/>
              </w:rPr>
              <w:t>De leden kunnen eenparig en schriftelijk alle besluiten nemen die tot de bevoegdheid van de algemene vergadering behoren, met uitzondering van statutenwijzigingen. In dat geval dienen de formaliteiten van bijeenroeping niet te worden vervuld. De leden van het bestuursorgaan en, in voorkomend geval, de commissaris, mogen op hun verzoek van die besluiten kennis nemen.</w:t>
            </w:r>
          </w:p>
        </w:tc>
        <w:tc>
          <w:tcPr>
            <w:tcW w:w="5953" w:type="dxa"/>
            <w:shd w:val="clear" w:color="auto" w:fill="auto"/>
          </w:tcPr>
          <w:p w14:paraId="0B88AC08" w14:textId="098E2BB1" w:rsidR="00CB4481" w:rsidRPr="00C55D63" w:rsidRDefault="00C55D63" w:rsidP="00CB4481">
            <w:pPr>
              <w:spacing w:after="0" w:line="240" w:lineRule="auto"/>
              <w:jc w:val="both"/>
              <w:rPr>
                <w:rFonts w:cs="Calibri"/>
                <w:lang w:val="fr-FR"/>
              </w:rPr>
            </w:pPr>
            <w:r w:rsidRPr="00C55D63">
              <w:rPr>
                <w:rFonts w:cs="Calibri"/>
                <w:bCs/>
                <w:lang w:val="fr-FR"/>
              </w:rPr>
              <w:t>Les membres peuvent, à l'unanimité et par écrit, prendre toutes les décisions qui relèvent des pouvoirs de l'assemblée générale, à l'exception de la modification des statuts. Dans ce cas, les formalités de convocation ne doivent pas être accomplies. Les membres de l'organe d'administration et, le cas échéant, le commissaire, peuvent, à leur demande, prendre connaissance de ces décisions.</w:t>
            </w:r>
          </w:p>
        </w:tc>
      </w:tr>
      <w:tr w:rsidR="00AD19A2" w:rsidRPr="00DB4452" w14:paraId="26B0C2AB" w14:textId="77777777" w:rsidTr="002D5C80">
        <w:trPr>
          <w:trHeight w:val="377"/>
        </w:trPr>
        <w:tc>
          <w:tcPr>
            <w:tcW w:w="2122" w:type="dxa"/>
          </w:tcPr>
          <w:p w14:paraId="4BEFB4BC" w14:textId="447CFECC" w:rsidR="00AD19A2" w:rsidRPr="00AD19A2" w:rsidRDefault="00697004" w:rsidP="00CB4481">
            <w:pPr>
              <w:spacing w:after="0" w:line="240" w:lineRule="auto"/>
              <w:jc w:val="both"/>
              <w:rPr>
                <w:rFonts w:cs="Calibri"/>
                <w:lang w:val="fr-FR"/>
              </w:rPr>
            </w:pPr>
            <w:hyperlink r:id="rId7" w:history="1">
              <w:r w:rsidR="000F60FE" w:rsidRPr="00DB4452">
                <w:rPr>
                  <w:rStyle w:val="Hyperlink"/>
                  <w:rFonts w:cs="Calibri"/>
                  <w:lang w:val="fr-FR"/>
                </w:rPr>
                <w:t>Wets</w:t>
              </w:r>
              <w:r w:rsidR="00AD19A2" w:rsidRPr="00DB4452">
                <w:rPr>
                  <w:rStyle w:val="Hyperlink"/>
                  <w:rFonts w:cs="Calibri"/>
                  <w:lang w:val="fr-FR"/>
                </w:rPr>
                <w:t>ontwerp</w:t>
              </w:r>
              <w:r w:rsidR="000F60FE" w:rsidRPr="00DB4452">
                <w:rPr>
                  <w:rStyle w:val="Hyperlink"/>
                  <w:rFonts w:cs="Calibri"/>
                  <w:lang w:val="fr-FR"/>
                </w:rPr>
                <w:t xml:space="preserve"> 1668</w:t>
              </w:r>
            </w:hyperlink>
          </w:p>
        </w:tc>
        <w:tc>
          <w:tcPr>
            <w:tcW w:w="5670" w:type="dxa"/>
            <w:shd w:val="clear" w:color="auto" w:fill="auto"/>
          </w:tcPr>
          <w:p w14:paraId="3896E0A6" w14:textId="77777777" w:rsidR="00246134" w:rsidRDefault="00246134" w:rsidP="00246134">
            <w:pPr>
              <w:spacing w:after="0" w:line="240" w:lineRule="auto"/>
              <w:jc w:val="both"/>
              <w:rPr>
                <w:rFonts w:cs="Calibri"/>
                <w:lang w:val="nl-NL"/>
              </w:rPr>
            </w:pPr>
            <w:r w:rsidRPr="00246134">
              <w:rPr>
                <w:rFonts w:cs="Calibri"/>
                <w:lang w:val="nl-NL"/>
              </w:rPr>
              <w:t xml:space="preserve">In onderafdeling 2/1, ingevoegd bij artikel 39, wordt een artikel 10 :6/1 ingevoegd, luidende : </w:t>
            </w:r>
          </w:p>
          <w:p w14:paraId="615A1011" w14:textId="77777777" w:rsidR="00246134" w:rsidRPr="00246134" w:rsidRDefault="00246134" w:rsidP="00246134">
            <w:pPr>
              <w:spacing w:after="0" w:line="240" w:lineRule="auto"/>
              <w:jc w:val="both"/>
              <w:rPr>
                <w:rFonts w:cs="Calibri"/>
                <w:lang w:val="nl-NL"/>
              </w:rPr>
            </w:pPr>
          </w:p>
          <w:p w14:paraId="45F5693D" w14:textId="3F2DF699" w:rsidR="00AD19A2" w:rsidRPr="00246134" w:rsidRDefault="00246134" w:rsidP="00CB4481">
            <w:pPr>
              <w:spacing w:after="0" w:line="240" w:lineRule="auto"/>
              <w:jc w:val="both"/>
              <w:rPr>
                <w:rFonts w:cs="Calibri"/>
                <w:lang w:val="nl-NL"/>
              </w:rPr>
            </w:pPr>
            <w:r w:rsidRPr="00246134">
              <w:rPr>
                <w:rFonts w:cs="Calibri"/>
                <w:lang w:val="nl-NL"/>
              </w:rPr>
              <w:t xml:space="preserve">“Art. 10 :6/1. De leden kunnen eenparig en schriftelijk alle besluiten nemen die tot de bevoegdheid van de algemene vergadering behoren, met uitzondering van statutenwijzigingen. In dat geval dienen de formaliteiten van bijeenroeping niet te worden vervuld. De leden van het bestuursorgaan en, in voorkomend geval, de commissaris, mogen op hun verzoek van die besluiten kennis nemen.”. </w:t>
            </w:r>
          </w:p>
        </w:tc>
        <w:tc>
          <w:tcPr>
            <w:tcW w:w="5953" w:type="dxa"/>
            <w:shd w:val="clear" w:color="auto" w:fill="auto"/>
          </w:tcPr>
          <w:p w14:paraId="5DC6F409" w14:textId="77777777" w:rsidR="007D5526" w:rsidRPr="007D5526" w:rsidRDefault="007D5526" w:rsidP="007D5526">
            <w:pPr>
              <w:spacing w:after="0" w:line="240" w:lineRule="auto"/>
              <w:jc w:val="both"/>
              <w:rPr>
                <w:rFonts w:cs="Calibri"/>
                <w:lang w:val="fr-FR"/>
              </w:rPr>
            </w:pPr>
            <w:r w:rsidRPr="007D5526">
              <w:rPr>
                <w:rFonts w:cs="Calibri"/>
                <w:lang w:val="fr-FR"/>
              </w:rPr>
              <w:t xml:space="preserve">Dans la sous-section 2/1, insérée par l’article 39, il est inséré un article 10 :6/1, rédigé comme suit : </w:t>
            </w:r>
          </w:p>
          <w:p w14:paraId="7AE3BAE6" w14:textId="77777777" w:rsidR="007D5526" w:rsidRPr="007D5526" w:rsidRDefault="007D5526" w:rsidP="007D5526">
            <w:pPr>
              <w:spacing w:after="0" w:line="240" w:lineRule="auto"/>
              <w:jc w:val="both"/>
              <w:rPr>
                <w:rFonts w:cs="Calibri"/>
                <w:lang w:val="fr-FR"/>
              </w:rPr>
            </w:pPr>
          </w:p>
          <w:p w14:paraId="72D313F0" w14:textId="1C1208AE" w:rsidR="00AD19A2" w:rsidRPr="00A119D6" w:rsidRDefault="007D5526" w:rsidP="00CB4481">
            <w:pPr>
              <w:spacing w:after="0" w:line="240" w:lineRule="auto"/>
              <w:jc w:val="both"/>
              <w:rPr>
                <w:rFonts w:cs="Calibri"/>
                <w:lang w:val="fr-FR"/>
              </w:rPr>
            </w:pPr>
            <w:r w:rsidRPr="007D5526">
              <w:rPr>
                <w:rFonts w:cs="Calibri"/>
                <w:lang w:val="fr-FR"/>
              </w:rPr>
              <w:t>“Art. 10 :6/1. Les membres peuvent, à l’unanimité et par écrit, prendre toutes les décisions qui relèvent des pouvoirs de l’assemblée générale, à l’exception de la modification des statuts. Dans ce cas, les formalités de convocation ne doivent pas être accomplies. Les membres de l’organe d’administration et, le cas échéant, le commissaire, peuvent, à leur demande, prendre connaissance de ces décisions.”.</w:t>
            </w:r>
            <w:r w:rsidRPr="00A119D6">
              <w:rPr>
                <w:rFonts w:cs="Calibri"/>
                <w:lang w:val="fr-FR"/>
              </w:rPr>
              <w:t xml:space="preserve"> </w:t>
            </w:r>
          </w:p>
        </w:tc>
      </w:tr>
      <w:tr w:rsidR="002D5C80" w:rsidRPr="00DB4452" w14:paraId="071338EA" w14:textId="77777777" w:rsidTr="002D5C80">
        <w:trPr>
          <w:trHeight w:val="377"/>
        </w:trPr>
        <w:tc>
          <w:tcPr>
            <w:tcW w:w="2122" w:type="dxa"/>
          </w:tcPr>
          <w:p w14:paraId="01376BB9" w14:textId="07C6AE15" w:rsidR="002D5C80" w:rsidRDefault="00697004" w:rsidP="00CB4481">
            <w:pPr>
              <w:spacing w:after="0" w:line="240" w:lineRule="auto"/>
              <w:jc w:val="both"/>
              <w:rPr>
                <w:rFonts w:cs="Calibri"/>
                <w:lang w:val="fr-FR"/>
              </w:rPr>
            </w:pPr>
            <w:hyperlink r:id="rId8" w:history="1">
              <w:r w:rsidR="002D5C80" w:rsidRPr="00DB4452">
                <w:rPr>
                  <w:rStyle w:val="Hyperlink"/>
                  <w:rFonts w:cs="Calibri"/>
                  <w:lang w:val="fr-FR"/>
                </w:rPr>
                <w:t>MvT</w:t>
              </w:r>
              <w:r w:rsidR="00EB02DE" w:rsidRPr="00DB4452">
                <w:rPr>
                  <w:rStyle w:val="Hyperlink"/>
                  <w:rFonts w:cs="Calibri"/>
                  <w:lang w:val="fr-FR"/>
                </w:rPr>
                <w:t xml:space="preserve"> 1668</w:t>
              </w:r>
            </w:hyperlink>
          </w:p>
        </w:tc>
        <w:tc>
          <w:tcPr>
            <w:tcW w:w="5670" w:type="dxa"/>
            <w:shd w:val="clear" w:color="auto" w:fill="auto"/>
          </w:tcPr>
          <w:p w14:paraId="462C4983" w14:textId="6832D061" w:rsidR="002D5C80" w:rsidRPr="002572F4" w:rsidRDefault="002572F4" w:rsidP="00CB4481">
            <w:pPr>
              <w:spacing w:after="0" w:line="240" w:lineRule="auto"/>
              <w:jc w:val="both"/>
              <w:rPr>
                <w:rFonts w:cs="Calibri"/>
                <w:lang w:val="nl-NL"/>
              </w:rPr>
            </w:pPr>
            <w:r w:rsidRPr="002572F4">
              <w:rPr>
                <w:rFonts w:cs="Calibri"/>
                <w:lang w:val="nl-NL"/>
              </w:rPr>
              <w:t xml:space="preserve">Deze artikelen voeren de schriftelijke besluitvorming van de algemene vergadering voor de ivzw in. Voor het overige wordt er verwezen naar de toelichting bij de artikelen 29 en 30. </w:t>
            </w:r>
          </w:p>
        </w:tc>
        <w:tc>
          <w:tcPr>
            <w:tcW w:w="5953" w:type="dxa"/>
            <w:shd w:val="clear" w:color="auto" w:fill="auto"/>
          </w:tcPr>
          <w:p w14:paraId="2C0CEE00" w14:textId="4202A1FA" w:rsidR="002D5C80" w:rsidRPr="00C30C79" w:rsidRDefault="00C30C79" w:rsidP="00C30C79">
            <w:pPr>
              <w:pStyle w:val="Normaalweb"/>
              <w:rPr>
                <w:rFonts w:asciiTheme="minorHAnsi" w:hAnsiTheme="minorHAnsi"/>
                <w:lang w:val="fr-FR"/>
              </w:rPr>
            </w:pPr>
            <w:r w:rsidRPr="00C30C79">
              <w:rPr>
                <w:rFonts w:asciiTheme="minorHAnsi" w:hAnsiTheme="minorHAnsi"/>
                <w:sz w:val="20"/>
                <w:szCs w:val="20"/>
                <w:lang w:val="fr-FR"/>
              </w:rPr>
              <w:t xml:space="preserve">Ces articles introduisent </w:t>
            </w:r>
            <w:r>
              <w:rPr>
                <w:rFonts w:asciiTheme="minorHAnsi" w:hAnsiTheme="minorHAnsi"/>
                <w:sz w:val="20"/>
                <w:szCs w:val="20"/>
                <w:lang w:val="fr-FR"/>
              </w:rPr>
              <w:t>pour l’AISBL la prise de déci</w:t>
            </w:r>
            <w:r w:rsidRPr="00C30C79">
              <w:rPr>
                <w:rFonts w:asciiTheme="minorHAnsi" w:hAnsiTheme="minorHAnsi"/>
                <w:sz w:val="20"/>
                <w:szCs w:val="20"/>
                <w:lang w:val="fr-FR"/>
              </w:rPr>
              <w:t xml:space="preserve">sion par écrit de l’assemblée générale. Pour le surplus, il est renvoyé au commentaire des articles 29 et 30. </w:t>
            </w:r>
          </w:p>
        </w:tc>
      </w:tr>
      <w:tr w:rsidR="002D5C80" w:rsidRPr="002D5C80" w14:paraId="4E568F50" w14:textId="77777777" w:rsidTr="002D5C80">
        <w:trPr>
          <w:trHeight w:val="377"/>
        </w:trPr>
        <w:tc>
          <w:tcPr>
            <w:tcW w:w="2122" w:type="dxa"/>
          </w:tcPr>
          <w:p w14:paraId="077B245B" w14:textId="255DFBD1" w:rsidR="002D5C80" w:rsidRDefault="00697004" w:rsidP="00CB4481">
            <w:pPr>
              <w:spacing w:after="0" w:line="240" w:lineRule="auto"/>
              <w:jc w:val="both"/>
              <w:rPr>
                <w:rFonts w:cs="Calibri"/>
                <w:lang w:val="fr-FR"/>
              </w:rPr>
            </w:pPr>
            <w:hyperlink r:id="rId9" w:history="1">
              <w:r w:rsidR="002D5C80" w:rsidRPr="00DB4452">
                <w:rPr>
                  <w:rStyle w:val="Hyperlink"/>
                  <w:rFonts w:cs="Calibri"/>
                  <w:lang w:val="fr-FR"/>
                </w:rPr>
                <w:t>RvSt</w:t>
              </w:r>
              <w:r w:rsidR="00EB02DE" w:rsidRPr="00DB4452">
                <w:rPr>
                  <w:rStyle w:val="Hyperlink"/>
                  <w:rFonts w:cs="Calibri"/>
                  <w:lang w:val="fr-FR"/>
                </w:rPr>
                <w:t xml:space="preserve"> 1668</w:t>
              </w:r>
            </w:hyperlink>
          </w:p>
        </w:tc>
        <w:tc>
          <w:tcPr>
            <w:tcW w:w="5670" w:type="dxa"/>
            <w:shd w:val="clear" w:color="auto" w:fill="auto"/>
          </w:tcPr>
          <w:p w14:paraId="1A2E6524" w14:textId="77777777" w:rsidR="002D5C80" w:rsidRPr="002D5C80" w:rsidRDefault="002D5C80" w:rsidP="00CB4481">
            <w:pPr>
              <w:spacing w:after="0" w:line="240" w:lineRule="auto"/>
              <w:jc w:val="both"/>
              <w:rPr>
                <w:rFonts w:cs="Calibri"/>
                <w:lang w:val="fr-FR"/>
              </w:rPr>
            </w:pPr>
            <w:r>
              <w:rPr>
                <w:rFonts w:cs="Calibri"/>
                <w:lang w:val="fr-FR"/>
              </w:rPr>
              <w:t>Geen opmerkingen.</w:t>
            </w:r>
          </w:p>
        </w:tc>
        <w:tc>
          <w:tcPr>
            <w:tcW w:w="5953" w:type="dxa"/>
            <w:shd w:val="clear" w:color="auto" w:fill="auto"/>
          </w:tcPr>
          <w:p w14:paraId="00EAE4C2" w14:textId="77777777" w:rsidR="002D5C80" w:rsidRPr="002D5C80" w:rsidRDefault="002D5C80" w:rsidP="00CB4481">
            <w:pPr>
              <w:spacing w:after="0" w:line="240" w:lineRule="auto"/>
              <w:jc w:val="both"/>
              <w:rPr>
                <w:rFonts w:cs="Calibri"/>
                <w:lang w:val="fr-FR"/>
              </w:rPr>
            </w:pPr>
            <w:r>
              <w:rPr>
                <w:rFonts w:cs="Calibri"/>
                <w:lang w:val="fr-FR"/>
              </w:rPr>
              <w:t>Pas de remarques.</w:t>
            </w:r>
          </w:p>
        </w:tc>
      </w:tr>
      <w:tr w:rsidR="001B619F" w:rsidRPr="00DB4452" w14:paraId="05BB9937" w14:textId="77777777" w:rsidTr="001565FF">
        <w:trPr>
          <w:trHeight w:val="90"/>
        </w:trPr>
        <w:tc>
          <w:tcPr>
            <w:tcW w:w="2122" w:type="dxa"/>
          </w:tcPr>
          <w:p w14:paraId="146BAA2F" w14:textId="7DC3C7E8" w:rsidR="001B619F" w:rsidRDefault="001B619F" w:rsidP="00CB4481">
            <w:pPr>
              <w:spacing w:after="0" w:line="240" w:lineRule="auto"/>
              <w:jc w:val="both"/>
              <w:rPr>
                <w:rFonts w:cs="Calibri"/>
                <w:lang w:val="fr-FR"/>
              </w:rPr>
            </w:pPr>
            <w:r>
              <w:rPr>
                <w:rFonts w:cs="Calibri"/>
                <w:lang w:val="fr-FR"/>
              </w:rPr>
              <w:t xml:space="preserve">Amendement nr. </w:t>
            </w:r>
            <w:r w:rsidR="00853074">
              <w:rPr>
                <w:rFonts w:cs="Calibri"/>
                <w:lang w:val="fr-FR"/>
              </w:rPr>
              <w:t>16 bij 1668</w:t>
            </w:r>
          </w:p>
        </w:tc>
        <w:tc>
          <w:tcPr>
            <w:tcW w:w="5670" w:type="dxa"/>
            <w:shd w:val="clear" w:color="auto" w:fill="auto"/>
          </w:tcPr>
          <w:p w14:paraId="43BB50AE" w14:textId="77777777" w:rsidR="001565FF" w:rsidRDefault="001565FF" w:rsidP="001565FF">
            <w:pPr>
              <w:spacing w:after="0" w:line="240" w:lineRule="auto"/>
              <w:jc w:val="both"/>
              <w:rPr>
                <w:rFonts w:cs="Calibri"/>
                <w:bCs/>
                <w:lang w:val="nl-NL"/>
              </w:rPr>
            </w:pPr>
            <w:r w:rsidRPr="001565FF">
              <w:rPr>
                <w:rFonts w:cs="Calibri"/>
                <w:bCs/>
                <w:lang w:val="nl-NL"/>
              </w:rPr>
              <w:t xml:space="preserve">In het ontworpen artikel 10:6/1, eerste zin, in fine, het woord </w:t>
            </w:r>
            <w:r w:rsidRPr="001565FF">
              <w:rPr>
                <w:rFonts w:cs="Calibri"/>
                <w:lang w:val="nl-NL"/>
              </w:rPr>
              <w:t xml:space="preserve">“statutenwijzigingen” </w:t>
            </w:r>
            <w:r w:rsidRPr="001565FF">
              <w:rPr>
                <w:rFonts w:cs="Calibri"/>
                <w:bCs/>
                <w:lang w:val="nl-NL"/>
              </w:rPr>
              <w:t xml:space="preserve">vervangen door de woorden </w:t>
            </w:r>
            <w:r w:rsidRPr="001565FF">
              <w:rPr>
                <w:rFonts w:cs="Calibri"/>
                <w:iCs/>
                <w:lang w:val="nl-NL"/>
              </w:rPr>
              <w:t>“die welke moeten worden genomen met naleving van de aanwezigheids- en de meerderheids- vereisten voorgeschreven voor een statutenwijziging”</w:t>
            </w:r>
            <w:r w:rsidRPr="001565FF">
              <w:rPr>
                <w:rFonts w:cs="Calibri"/>
                <w:bCs/>
                <w:lang w:val="nl-NL"/>
              </w:rPr>
              <w:t xml:space="preserve">. </w:t>
            </w:r>
          </w:p>
          <w:p w14:paraId="1C48781F" w14:textId="77777777" w:rsidR="001565FF" w:rsidRPr="001565FF" w:rsidRDefault="001565FF" w:rsidP="001565FF">
            <w:pPr>
              <w:spacing w:after="0" w:line="240" w:lineRule="auto"/>
              <w:jc w:val="both"/>
              <w:rPr>
                <w:rFonts w:cs="Calibri"/>
                <w:lang w:val="nl-NL"/>
              </w:rPr>
            </w:pPr>
          </w:p>
          <w:p w14:paraId="0412F230" w14:textId="77777777" w:rsidR="001565FF" w:rsidRPr="001565FF" w:rsidRDefault="001565FF" w:rsidP="001565FF">
            <w:pPr>
              <w:spacing w:after="0" w:line="240" w:lineRule="auto"/>
              <w:jc w:val="both"/>
              <w:rPr>
                <w:rFonts w:cs="Calibri"/>
                <w:lang w:val="nl-NL"/>
              </w:rPr>
            </w:pPr>
            <w:r w:rsidRPr="001565FF">
              <w:rPr>
                <w:rFonts w:cs="Calibri"/>
                <w:lang w:val="nl-NL"/>
              </w:rPr>
              <w:t>VERANTWOORDING</w:t>
            </w:r>
            <w:r w:rsidRPr="001565FF">
              <w:rPr>
                <w:rFonts w:cs="Calibri"/>
                <w:lang w:val="nl-NL"/>
              </w:rPr>
              <w:br/>
              <w:t xml:space="preserve">Het amendement wordt voorgesteld door Avocats.be. </w:t>
            </w:r>
          </w:p>
          <w:p w14:paraId="016C8859" w14:textId="5EAFE09B" w:rsidR="001B619F" w:rsidRPr="001565FF" w:rsidRDefault="001565FF" w:rsidP="00CB4481">
            <w:pPr>
              <w:spacing w:after="0" w:line="240" w:lineRule="auto"/>
              <w:jc w:val="both"/>
              <w:rPr>
                <w:rFonts w:cs="Calibri"/>
                <w:lang w:val="nl-NL"/>
              </w:rPr>
            </w:pPr>
            <w:r w:rsidRPr="001565FF">
              <w:rPr>
                <w:rFonts w:cs="Calibri"/>
                <w:lang w:val="nl-NL"/>
              </w:rPr>
              <w:t xml:space="preserve">Zie de verantwoording van amendement nr. 12. </w:t>
            </w:r>
          </w:p>
        </w:tc>
        <w:tc>
          <w:tcPr>
            <w:tcW w:w="5953" w:type="dxa"/>
            <w:shd w:val="clear" w:color="auto" w:fill="auto"/>
          </w:tcPr>
          <w:p w14:paraId="39DFA199" w14:textId="3EC18520" w:rsidR="007305A0" w:rsidRDefault="007305A0" w:rsidP="007305A0">
            <w:pPr>
              <w:spacing w:after="0" w:line="240" w:lineRule="auto"/>
              <w:jc w:val="both"/>
              <w:rPr>
                <w:rFonts w:cs="Calibri"/>
                <w:bCs/>
                <w:lang w:val="fr-FR"/>
              </w:rPr>
            </w:pPr>
            <w:r w:rsidRPr="007305A0">
              <w:rPr>
                <w:rFonts w:cs="Calibri"/>
                <w:bCs/>
                <w:lang w:val="fr-FR"/>
              </w:rPr>
              <w:lastRenderedPageBreak/>
              <w:t xml:space="preserve">Dans l’article 10:6/1 proposé, première phrase, in fine, remplacer les mots </w:t>
            </w:r>
            <w:r w:rsidRPr="007305A0">
              <w:rPr>
                <w:rFonts w:cs="Calibri"/>
                <w:lang w:val="fr-FR"/>
              </w:rPr>
              <w:t xml:space="preserve">“la modification des statuts” </w:t>
            </w:r>
            <w:r w:rsidRPr="007305A0">
              <w:rPr>
                <w:rFonts w:cs="Calibri"/>
                <w:bCs/>
                <w:lang w:val="fr-FR"/>
              </w:rPr>
              <w:t xml:space="preserve">par les mots </w:t>
            </w:r>
            <w:r w:rsidRPr="007305A0">
              <w:rPr>
                <w:rFonts w:cs="Calibri"/>
                <w:iCs/>
                <w:lang w:val="fr-FR"/>
              </w:rPr>
              <w:t>“celles qui do</w:t>
            </w:r>
            <w:r>
              <w:rPr>
                <w:rFonts w:cs="Calibri"/>
                <w:iCs/>
                <w:lang w:val="fr-FR"/>
              </w:rPr>
              <w:t>ivent être prises dans le res</w:t>
            </w:r>
            <w:r w:rsidRPr="007305A0">
              <w:rPr>
                <w:rFonts w:cs="Calibri"/>
                <w:iCs/>
                <w:lang w:val="fr-FR"/>
              </w:rPr>
              <w:t>pect des conditions de quorum et de majorité requises pour la modification des statuts”</w:t>
            </w:r>
            <w:r w:rsidRPr="007305A0">
              <w:rPr>
                <w:rFonts w:cs="Calibri"/>
                <w:bCs/>
                <w:lang w:val="fr-FR"/>
              </w:rPr>
              <w:t xml:space="preserve">. </w:t>
            </w:r>
          </w:p>
          <w:p w14:paraId="5B228880" w14:textId="77777777" w:rsidR="007305A0" w:rsidRPr="007305A0" w:rsidRDefault="007305A0" w:rsidP="007305A0">
            <w:pPr>
              <w:spacing w:after="0" w:line="240" w:lineRule="auto"/>
              <w:jc w:val="both"/>
              <w:rPr>
                <w:rFonts w:cs="Calibri"/>
                <w:lang w:val="fr-FR"/>
              </w:rPr>
            </w:pPr>
          </w:p>
          <w:p w14:paraId="53474C23" w14:textId="77777777" w:rsidR="007305A0" w:rsidRPr="007305A0" w:rsidRDefault="007305A0" w:rsidP="007305A0">
            <w:pPr>
              <w:spacing w:after="0" w:line="240" w:lineRule="auto"/>
              <w:jc w:val="both"/>
              <w:rPr>
                <w:rFonts w:cs="Calibri"/>
                <w:lang w:val="fr-FR"/>
              </w:rPr>
            </w:pPr>
            <w:r w:rsidRPr="007305A0">
              <w:rPr>
                <w:rFonts w:cs="Calibri"/>
                <w:lang w:val="fr-FR"/>
              </w:rPr>
              <w:t xml:space="preserve">JUSTIFICATION L’amendement est proposé par Avocats.be. </w:t>
            </w:r>
          </w:p>
          <w:p w14:paraId="7140C795" w14:textId="77777777" w:rsidR="007305A0" w:rsidRPr="007305A0" w:rsidRDefault="007305A0" w:rsidP="007305A0">
            <w:pPr>
              <w:spacing w:after="0" w:line="240" w:lineRule="auto"/>
              <w:jc w:val="both"/>
              <w:rPr>
                <w:rFonts w:cs="Calibri"/>
                <w:lang w:val="fr-FR"/>
              </w:rPr>
            </w:pPr>
            <w:r w:rsidRPr="007305A0">
              <w:rPr>
                <w:rFonts w:cs="Calibri"/>
                <w:lang w:val="fr-FR"/>
              </w:rPr>
              <w:t xml:space="preserve">Voir la justification concernant l’article 22 (amendement n° 12). </w:t>
            </w:r>
          </w:p>
          <w:p w14:paraId="3BB76572" w14:textId="77777777" w:rsidR="001B619F" w:rsidRPr="00DB4452" w:rsidRDefault="001B619F" w:rsidP="00CB4481">
            <w:pPr>
              <w:spacing w:after="0" w:line="240" w:lineRule="auto"/>
              <w:jc w:val="both"/>
              <w:rPr>
                <w:rFonts w:cs="Calibri"/>
                <w:lang w:val="fr-FR"/>
              </w:rPr>
            </w:pPr>
          </w:p>
        </w:tc>
      </w:tr>
    </w:tbl>
    <w:p w14:paraId="69C4C9AD" w14:textId="77777777" w:rsidR="000D42B6" w:rsidRPr="002D5C80" w:rsidRDefault="000D42B6">
      <w:pPr>
        <w:rPr>
          <w:lang w:val="fr-FR"/>
        </w:rPr>
      </w:pPr>
    </w:p>
    <w:sectPr w:rsidR="000D42B6" w:rsidRPr="002D5C80"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B9CC" w14:textId="77777777" w:rsidR="00A827B8" w:rsidRDefault="00A827B8" w:rsidP="000D42B6">
      <w:pPr>
        <w:spacing w:after="0" w:line="240" w:lineRule="auto"/>
      </w:pPr>
      <w:r>
        <w:separator/>
      </w:r>
    </w:p>
  </w:endnote>
  <w:endnote w:type="continuationSeparator" w:id="0">
    <w:p w14:paraId="2CDE070E" w14:textId="77777777" w:rsidR="00A827B8" w:rsidRDefault="00A827B8"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41FA" w14:textId="77777777" w:rsidR="00A827B8" w:rsidRDefault="00A827B8" w:rsidP="000D42B6">
      <w:pPr>
        <w:spacing w:after="0" w:line="240" w:lineRule="auto"/>
      </w:pPr>
      <w:r>
        <w:separator/>
      </w:r>
    </w:p>
  </w:footnote>
  <w:footnote w:type="continuationSeparator" w:id="0">
    <w:p w14:paraId="582D7409" w14:textId="77777777" w:rsidR="00A827B8" w:rsidRDefault="00A827B8" w:rsidP="000D42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11A17"/>
    <w:rsid w:val="00022081"/>
    <w:rsid w:val="00035BCD"/>
    <w:rsid w:val="000442C7"/>
    <w:rsid w:val="00045500"/>
    <w:rsid w:val="00091D31"/>
    <w:rsid w:val="00094CF7"/>
    <w:rsid w:val="000B1492"/>
    <w:rsid w:val="000D42B6"/>
    <w:rsid w:val="000E0E04"/>
    <w:rsid w:val="000F086E"/>
    <w:rsid w:val="000F564E"/>
    <w:rsid w:val="000F60FE"/>
    <w:rsid w:val="000F6620"/>
    <w:rsid w:val="000F6EBF"/>
    <w:rsid w:val="00104B1C"/>
    <w:rsid w:val="00113585"/>
    <w:rsid w:val="00124A29"/>
    <w:rsid w:val="00124FFC"/>
    <w:rsid w:val="001374D6"/>
    <w:rsid w:val="00146897"/>
    <w:rsid w:val="00150133"/>
    <w:rsid w:val="0015110E"/>
    <w:rsid w:val="001565FF"/>
    <w:rsid w:val="00164255"/>
    <w:rsid w:val="00164B7C"/>
    <w:rsid w:val="00170F2D"/>
    <w:rsid w:val="001777AA"/>
    <w:rsid w:val="001804A0"/>
    <w:rsid w:val="0018145F"/>
    <w:rsid w:val="00195659"/>
    <w:rsid w:val="00196D12"/>
    <w:rsid w:val="001B619F"/>
    <w:rsid w:val="001B7299"/>
    <w:rsid w:val="001D3DB0"/>
    <w:rsid w:val="001F09AE"/>
    <w:rsid w:val="001F63C9"/>
    <w:rsid w:val="00200CB2"/>
    <w:rsid w:val="002267FC"/>
    <w:rsid w:val="00226F54"/>
    <w:rsid w:val="002312C3"/>
    <w:rsid w:val="0023382A"/>
    <w:rsid w:val="00240AB1"/>
    <w:rsid w:val="00246134"/>
    <w:rsid w:val="0025723D"/>
    <w:rsid w:val="002572F4"/>
    <w:rsid w:val="00265913"/>
    <w:rsid w:val="00294C7A"/>
    <w:rsid w:val="002A358D"/>
    <w:rsid w:val="002C3413"/>
    <w:rsid w:val="002D5C80"/>
    <w:rsid w:val="002E255A"/>
    <w:rsid w:val="002E5EAF"/>
    <w:rsid w:val="002E671A"/>
    <w:rsid w:val="002F6C42"/>
    <w:rsid w:val="002F7E71"/>
    <w:rsid w:val="003050EA"/>
    <w:rsid w:val="00307F40"/>
    <w:rsid w:val="00324863"/>
    <w:rsid w:val="00336152"/>
    <w:rsid w:val="003458E5"/>
    <w:rsid w:val="003468E8"/>
    <w:rsid w:val="00346D75"/>
    <w:rsid w:val="003470E6"/>
    <w:rsid w:val="003608A6"/>
    <w:rsid w:val="0036539D"/>
    <w:rsid w:val="003744AD"/>
    <w:rsid w:val="00393BDA"/>
    <w:rsid w:val="0039772E"/>
    <w:rsid w:val="003A57E8"/>
    <w:rsid w:val="003B6AA6"/>
    <w:rsid w:val="003C1279"/>
    <w:rsid w:val="003C451B"/>
    <w:rsid w:val="003D55CF"/>
    <w:rsid w:val="004104D8"/>
    <w:rsid w:val="00411720"/>
    <w:rsid w:val="004132C2"/>
    <w:rsid w:val="0041500E"/>
    <w:rsid w:val="00416F6B"/>
    <w:rsid w:val="00417C7D"/>
    <w:rsid w:val="0042128B"/>
    <w:rsid w:val="00427696"/>
    <w:rsid w:val="00430221"/>
    <w:rsid w:val="00433760"/>
    <w:rsid w:val="00440F54"/>
    <w:rsid w:val="00443B76"/>
    <w:rsid w:val="00453D37"/>
    <w:rsid w:val="0046207D"/>
    <w:rsid w:val="00465897"/>
    <w:rsid w:val="00472296"/>
    <w:rsid w:val="00474DA0"/>
    <w:rsid w:val="00480CC2"/>
    <w:rsid w:val="004912D1"/>
    <w:rsid w:val="00491926"/>
    <w:rsid w:val="004959E8"/>
    <w:rsid w:val="004A303D"/>
    <w:rsid w:val="004A4EC5"/>
    <w:rsid w:val="004A576D"/>
    <w:rsid w:val="004C405E"/>
    <w:rsid w:val="004F67F5"/>
    <w:rsid w:val="00507FBB"/>
    <w:rsid w:val="00512C24"/>
    <w:rsid w:val="00520F98"/>
    <w:rsid w:val="00521FAE"/>
    <w:rsid w:val="00524011"/>
    <w:rsid w:val="0052623E"/>
    <w:rsid w:val="005365F7"/>
    <w:rsid w:val="00552278"/>
    <w:rsid w:val="005A260D"/>
    <w:rsid w:val="005B33B1"/>
    <w:rsid w:val="005B3DDA"/>
    <w:rsid w:val="005D0101"/>
    <w:rsid w:val="005D1273"/>
    <w:rsid w:val="005E53AE"/>
    <w:rsid w:val="00602363"/>
    <w:rsid w:val="006028F2"/>
    <w:rsid w:val="00637216"/>
    <w:rsid w:val="00642BA0"/>
    <w:rsid w:val="006739CA"/>
    <w:rsid w:val="00697004"/>
    <w:rsid w:val="00697A0E"/>
    <w:rsid w:val="006A58D7"/>
    <w:rsid w:val="006B1BD0"/>
    <w:rsid w:val="006C1558"/>
    <w:rsid w:val="006C2BF0"/>
    <w:rsid w:val="006C2F78"/>
    <w:rsid w:val="006C61D0"/>
    <w:rsid w:val="006E507B"/>
    <w:rsid w:val="006E6F00"/>
    <w:rsid w:val="00712FFB"/>
    <w:rsid w:val="007305A0"/>
    <w:rsid w:val="0073062C"/>
    <w:rsid w:val="007315FE"/>
    <w:rsid w:val="0074722F"/>
    <w:rsid w:val="00760D8C"/>
    <w:rsid w:val="007760FF"/>
    <w:rsid w:val="00790CDA"/>
    <w:rsid w:val="00794550"/>
    <w:rsid w:val="007A69C5"/>
    <w:rsid w:val="007A6A5E"/>
    <w:rsid w:val="007D3638"/>
    <w:rsid w:val="007D5526"/>
    <w:rsid w:val="007E000B"/>
    <w:rsid w:val="007E1EFC"/>
    <w:rsid w:val="007E2650"/>
    <w:rsid w:val="007E3EBC"/>
    <w:rsid w:val="007E45CA"/>
    <w:rsid w:val="007E7BE3"/>
    <w:rsid w:val="007F405E"/>
    <w:rsid w:val="007F5B7C"/>
    <w:rsid w:val="007F6D60"/>
    <w:rsid w:val="00800A32"/>
    <w:rsid w:val="00811E2B"/>
    <w:rsid w:val="00812011"/>
    <w:rsid w:val="00816FAA"/>
    <w:rsid w:val="00842AA6"/>
    <w:rsid w:val="00847850"/>
    <w:rsid w:val="0085214E"/>
    <w:rsid w:val="00853074"/>
    <w:rsid w:val="008538E7"/>
    <w:rsid w:val="00857BED"/>
    <w:rsid w:val="0086384D"/>
    <w:rsid w:val="00870327"/>
    <w:rsid w:val="008953D5"/>
    <w:rsid w:val="0089799D"/>
    <w:rsid w:val="008A299A"/>
    <w:rsid w:val="008B7728"/>
    <w:rsid w:val="008C3B1A"/>
    <w:rsid w:val="008C425D"/>
    <w:rsid w:val="008E4F9B"/>
    <w:rsid w:val="008F39F5"/>
    <w:rsid w:val="009011CC"/>
    <w:rsid w:val="0091193E"/>
    <w:rsid w:val="009202F4"/>
    <w:rsid w:val="00926C96"/>
    <w:rsid w:val="00976093"/>
    <w:rsid w:val="009820D3"/>
    <w:rsid w:val="00983194"/>
    <w:rsid w:val="00983DBA"/>
    <w:rsid w:val="00995A4F"/>
    <w:rsid w:val="009B1BDE"/>
    <w:rsid w:val="009C441D"/>
    <w:rsid w:val="009D22C4"/>
    <w:rsid w:val="009D3A31"/>
    <w:rsid w:val="009D53B5"/>
    <w:rsid w:val="009E5ABC"/>
    <w:rsid w:val="009E6F21"/>
    <w:rsid w:val="009F017E"/>
    <w:rsid w:val="009F01BC"/>
    <w:rsid w:val="009F286F"/>
    <w:rsid w:val="00A119D6"/>
    <w:rsid w:val="00A21D4C"/>
    <w:rsid w:val="00A258C8"/>
    <w:rsid w:val="00A25DD8"/>
    <w:rsid w:val="00A31998"/>
    <w:rsid w:val="00A36E85"/>
    <w:rsid w:val="00A46C9F"/>
    <w:rsid w:val="00A46D88"/>
    <w:rsid w:val="00A56923"/>
    <w:rsid w:val="00A61D2B"/>
    <w:rsid w:val="00A64B2F"/>
    <w:rsid w:val="00A71EA2"/>
    <w:rsid w:val="00A73D88"/>
    <w:rsid w:val="00A75DA5"/>
    <w:rsid w:val="00A77D80"/>
    <w:rsid w:val="00A827B8"/>
    <w:rsid w:val="00A859A5"/>
    <w:rsid w:val="00A87ABC"/>
    <w:rsid w:val="00A961CC"/>
    <w:rsid w:val="00AB41E7"/>
    <w:rsid w:val="00AC6A5E"/>
    <w:rsid w:val="00AD19A2"/>
    <w:rsid w:val="00AD3819"/>
    <w:rsid w:val="00AF308D"/>
    <w:rsid w:val="00B02D7F"/>
    <w:rsid w:val="00B0539A"/>
    <w:rsid w:val="00B21283"/>
    <w:rsid w:val="00B22B96"/>
    <w:rsid w:val="00B30A01"/>
    <w:rsid w:val="00B52F92"/>
    <w:rsid w:val="00B561E2"/>
    <w:rsid w:val="00B61010"/>
    <w:rsid w:val="00B62CF1"/>
    <w:rsid w:val="00B62DD7"/>
    <w:rsid w:val="00B70ED6"/>
    <w:rsid w:val="00B77107"/>
    <w:rsid w:val="00B8425D"/>
    <w:rsid w:val="00BA3C4B"/>
    <w:rsid w:val="00BA55BB"/>
    <w:rsid w:val="00BB0F3C"/>
    <w:rsid w:val="00BD3869"/>
    <w:rsid w:val="00BD7D3B"/>
    <w:rsid w:val="00BF3DD3"/>
    <w:rsid w:val="00BF4443"/>
    <w:rsid w:val="00BF5137"/>
    <w:rsid w:val="00C06D25"/>
    <w:rsid w:val="00C246AA"/>
    <w:rsid w:val="00C30C79"/>
    <w:rsid w:val="00C32848"/>
    <w:rsid w:val="00C47333"/>
    <w:rsid w:val="00C55D63"/>
    <w:rsid w:val="00C626D6"/>
    <w:rsid w:val="00C92E1F"/>
    <w:rsid w:val="00C96734"/>
    <w:rsid w:val="00C97319"/>
    <w:rsid w:val="00C97B09"/>
    <w:rsid w:val="00CA2BEB"/>
    <w:rsid w:val="00CA77E7"/>
    <w:rsid w:val="00CB4481"/>
    <w:rsid w:val="00CB4E93"/>
    <w:rsid w:val="00CB6976"/>
    <w:rsid w:val="00CC3C54"/>
    <w:rsid w:val="00CD1F25"/>
    <w:rsid w:val="00CF7A49"/>
    <w:rsid w:val="00D017F4"/>
    <w:rsid w:val="00D30CCE"/>
    <w:rsid w:val="00D33F08"/>
    <w:rsid w:val="00D417F8"/>
    <w:rsid w:val="00D427AE"/>
    <w:rsid w:val="00D5179A"/>
    <w:rsid w:val="00D547AD"/>
    <w:rsid w:val="00D7058D"/>
    <w:rsid w:val="00D849E2"/>
    <w:rsid w:val="00D95386"/>
    <w:rsid w:val="00DB007A"/>
    <w:rsid w:val="00DB4452"/>
    <w:rsid w:val="00DC20FD"/>
    <w:rsid w:val="00DC54F2"/>
    <w:rsid w:val="00DD127D"/>
    <w:rsid w:val="00DD6A68"/>
    <w:rsid w:val="00DF150E"/>
    <w:rsid w:val="00E004E9"/>
    <w:rsid w:val="00E127DB"/>
    <w:rsid w:val="00E151F2"/>
    <w:rsid w:val="00E17723"/>
    <w:rsid w:val="00E315B9"/>
    <w:rsid w:val="00E416B7"/>
    <w:rsid w:val="00E50472"/>
    <w:rsid w:val="00E5159B"/>
    <w:rsid w:val="00E519BE"/>
    <w:rsid w:val="00E5217D"/>
    <w:rsid w:val="00E6238A"/>
    <w:rsid w:val="00E66181"/>
    <w:rsid w:val="00E737B9"/>
    <w:rsid w:val="00E76C5F"/>
    <w:rsid w:val="00E91A57"/>
    <w:rsid w:val="00EA5A1A"/>
    <w:rsid w:val="00EB02DE"/>
    <w:rsid w:val="00EB19EC"/>
    <w:rsid w:val="00EE0375"/>
    <w:rsid w:val="00EE0607"/>
    <w:rsid w:val="00EF6FD3"/>
    <w:rsid w:val="00F13F38"/>
    <w:rsid w:val="00F25ABB"/>
    <w:rsid w:val="00F27FD8"/>
    <w:rsid w:val="00F507BD"/>
    <w:rsid w:val="00F530F5"/>
    <w:rsid w:val="00F776C0"/>
    <w:rsid w:val="00F9025C"/>
    <w:rsid w:val="00F962BF"/>
    <w:rsid w:val="00FA09D7"/>
    <w:rsid w:val="00FB3A0B"/>
    <w:rsid w:val="00FB5D76"/>
    <w:rsid w:val="00FC395D"/>
    <w:rsid w:val="00FC78AD"/>
    <w:rsid w:val="00FD572F"/>
    <w:rsid w:val="00FD7BA1"/>
    <w:rsid w:val="00FE7A13"/>
    <w:rsid w:val="00F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73838"/>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2">
    <w:name w:val="heading 2"/>
    <w:basedOn w:val="Standaard"/>
    <w:next w:val="Standaard"/>
    <w:link w:val="Kop2Char"/>
    <w:qFormat/>
    <w:rsid w:val="00336152"/>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character" w:customStyle="1" w:styleId="Kop2Char">
    <w:name w:val="Kop 2 Char"/>
    <w:basedOn w:val="Standaardalinea-lettertype"/>
    <w:link w:val="Kop2"/>
    <w:rsid w:val="00336152"/>
    <w:rPr>
      <w:rFonts w:ascii="Cambria" w:eastAsia="Times New Roman" w:hAnsi="Cambria" w:cs="Times New Roman"/>
      <w:b/>
      <w:bCs/>
      <w:color w:val="4F81BD"/>
      <w:sz w:val="26"/>
      <w:szCs w:val="26"/>
      <w:lang w:val="fr-BE" w:eastAsia="fr-FR"/>
    </w:rPr>
  </w:style>
  <w:style w:type="paragraph" w:styleId="Normaalweb">
    <w:name w:val="Normal (Web)"/>
    <w:basedOn w:val="Standaard"/>
    <w:uiPriority w:val="99"/>
    <w:unhideWhenUsed/>
    <w:rsid w:val="00C30C79"/>
    <w:pPr>
      <w:spacing w:before="100" w:beforeAutospacing="1" w:after="100" w:afterAutospacing="1" w:line="240" w:lineRule="auto"/>
    </w:pPr>
    <w:rPr>
      <w:rFonts w:ascii="Times New Roman" w:hAnsi="Times New Roman" w:cs="Times New Roman"/>
      <w:sz w:val="24"/>
      <w:szCs w:val="24"/>
      <w:lang w:val="nl-NL" w:eastAsia="nl-NL"/>
    </w:rPr>
  </w:style>
  <w:style w:type="character" w:styleId="Hyperlink">
    <w:name w:val="Hyperlink"/>
    <w:basedOn w:val="Standaardalinea-lettertype"/>
    <w:uiPriority w:val="99"/>
    <w:unhideWhenUsed/>
    <w:rsid w:val="00DB4452"/>
    <w:rPr>
      <w:color w:val="0563C1" w:themeColor="hyperlink"/>
      <w:u w:val="single"/>
    </w:rPr>
  </w:style>
  <w:style w:type="character" w:styleId="Onopgelostemelding">
    <w:name w:val="Unresolved Mention"/>
    <w:basedOn w:val="Standaardalinea-lettertype"/>
    <w:uiPriority w:val="99"/>
    <w:rsid w:val="00DB4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7336">
      <w:bodyDiv w:val="1"/>
      <w:marLeft w:val="0"/>
      <w:marRight w:val="0"/>
      <w:marTop w:val="0"/>
      <w:marBottom w:val="0"/>
      <w:divBdr>
        <w:top w:val="none" w:sz="0" w:space="0" w:color="auto"/>
        <w:left w:val="none" w:sz="0" w:space="0" w:color="auto"/>
        <w:bottom w:val="none" w:sz="0" w:space="0" w:color="auto"/>
        <w:right w:val="none" w:sz="0" w:space="0" w:color="auto"/>
      </w:divBdr>
      <w:divsChild>
        <w:div w:id="515382838">
          <w:marLeft w:val="0"/>
          <w:marRight w:val="0"/>
          <w:marTop w:val="0"/>
          <w:marBottom w:val="0"/>
          <w:divBdr>
            <w:top w:val="none" w:sz="0" w:space="0" w:color="auto"/>
            <w:left w:val="none" w:sz="0" w:space="0" w:color="auto"/>
            <w:bottom w:val="none" w:sz="0" w:space="0" w:color="auto"/>
            <w:right w:val="none" w:sz="0" w:space="0" w:color="auto"/>
          </w:divBdr>
          <w:divsChild>
            <w:div w:id="1651254459">
              <w:marLeft w:val="0"/>
              <w:marRight w:val="0"/>
              <w:marTop w:val="0"/>
              <w:marBottom w:val="0"/>
              <w:divBdr>
                <w:top w:val="none" w:sz="0" w:space="0" w:color="auto"/>
                <w:left w:val="none" w:sz="0" w:space="0" w:color="auto"/>
                <w:bottom w:val="none" w:sz="0" w:space="0" w:color="auto"/>
                <w:right w:val="none" w:sz="0" w:space="0" w:color="auto"/>
              </w:divBdr>
              <w:divsChild>
                <w:div w:id="158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04767">
      <w:bodyDiv w:val="1"/>
      <w:marLeft w:val="0"/>
      <w:marRight w:val="0"/>
      <w:marTop w:val="0"/>
      <w:marBottom w:val="0"/>
      <w:divBdr>
        <w:top w:val="none" w:sz="0" w:space="0" w:color="auto"/>
        <w:left w:val="none" w:sz="0" w:space="0" w:color="auto"/>
        <w:bottom w:val="none" w:sz="0" w:space="0" w:color="auto"/>
        <w:right w:val="none" w:sz="0" w:space="0" w:color="auto"/>
      </w:divBdr>
    </w:div>
    <w:div w:id="515920733">
      <w:bodyDiv w:val="1"/>
      <w:marLeft w:val="0"/>
      <w:marRight w:val="0"/>
      <w:marTop w:val="0"/>
      <w:marBottom w:val="0"/>
      <w:divBdr>
        <w:top w:val="none" w:sz="0" w:space="0" w:color="auto"/>
        <w:left w:val="none" w:sz="0" w:space="0" w:color="auto"/>
        <w:bottom w:val="none" w:sz="0" w:space="0" w:color="auto"/>
        <w:right w:val="none" w:sz="0" w:space="0" w:color="auto"/>
      </w:divBdr>
      <w:divsChild>
        <w:div w:id="811018467">
          <w:marLeft w:val="0"/>
          <w:marRight w:val="0"/>
          <w:marTop w:val="0"/>
          <w:marBottom w:val="0"/>
          <w:divBdr>
            <w:top w:val="none" w:sz="0" w:space="0" w:color="auto"/>
            <w:left w:val="none" w:sz="0" w:space="0" w:color="auto"/>
            <w:bottom w:val="none" w:sz="0" w:space="0" w:color="auto"/>
            <w:right w:val="none" w:sz="0" w:space="0" w:color="auto"/>
          </w:divBdr>
          <w:divsChild>
            <w:div w:id="1064723037">
              <w:marLeft w:val="0"/>
              <w:marRight w:val="0"/>
              <w:marTop w:val="0"/>
              <w:marBottom w:val="0"/>
              <w:divBdr>
                <w:top w:val="none" w:sz="0" w:space="0" w:color="auto"/>
                <w:left w:val="none" w:sz="0" w:space="0" w:color="auto"/>
                <w:bottom w:val="none" w:sz="0" w:space="0" w:color="auto"/>
                <w:right w:val="none" w:sz="0" w:space="0" w:color="auto"/>
              </w:divBdr>
              <w:divsChild>
                <w:div w:id="4293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22484">
      <w:bodyDiv w:val="1"/>
      <w:marLeft w:val="0"/>
      <w:marRight w:val="0"/>
      <w:marTop w:val="0"/>
      <w:marBottom w:val="0"/>
      <w:divBdr>
        <w:top w:val="none" w:sz="0" w:space="0" w:color="auto"/>
        <w:left w:val="none" w:sz="0" w:space="0" w:color="auto"/>
        <w:bottom w:val="none" w:sz="0" w:space="0" w:color="auto"/>
        <w:right w:val="none" w:sz="0" w:space="0" w:color="auto"/>
      </w:divBdr>
      <w:divsChild>
        <w:div w:id="1371147386">
          <w:marLeft w:val="0"/>
          <w:marRight w:val="0"/>
          <w:marTop w:val="0"/>
          <w:marBottom w:val="0"/>
          <w:divBdr>
            <w:top w:val="none" w:sz="0" w:space="0" w:color="auto"/>
            <w:left w:val="none" w:sz="0" w:space="0" w:color="auto"/>
            <w:bottom w:val="none" w:sz="0" w:space="0" w:color="auto"/>
            <w:right w:val="none" w:sz="0" w:space="0" w:color="auto"/>
          </w:divBdr>
          <w:divsChild>
            <w:div w:id="1010571568">
              <w:marLeft w:val="0"/>
              <w:marRight w:val="0"/>
              <w:marTop w:val="0"/>
              <w:marBottom w:val="0"/>
              <w:divBdr>
                <w:top w:val="none" w:sz="0" w:space="0" w:color="auto"/>
                <w:left w:val="none" w:sz="0" w:space="0" w:color="auto"/>
                <w:bottom w:val="none" w:sz="0" w:space="0" w:color="auto"/>
                <w:right w:val="none" w:sz="0" w:space="0" w:color="auto"/>
              </w:divBdr>
              <w:divsChild>
                <w:div w:id="1189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41114">
      <w:bodyDiv w:val="1"/>
      <w:marLeft w:val="0"/>
      <w:marRight w:val="0"/>
      <w:marTop w:val="0"/>
      <w:marBottom w:val="0"/>
      <w:divBdr>
        <w:top w:val="none" w:sz="0" w:space="0" w:color="auto"/>
        <w:left w:val="none" w:sz="0" w:space="0" w:color="auto"/>
        <w:bottom w:val="none" w:sz="0" w:space="0" w:color="auto"/>
        <w:right w:val="none" w:sz="0" w:space="0" w:color="auto"/>
      </w:divBdr>
      <w:divsChild>
        <w:div w:id="1502886503">
          <w:marLeft w:val="0"/>
          <w:marRight w:val="0"/>
          <w:marTop w:val="0"/>
          <w:marBottom w:val="0"/>
          <w:divBdr>
            <w:top w:val="none" w:sz="0" w:space="0" w:color="auto"/>
            <w:left w:val="none" w:sz="0" w:space="0" w:color="auto"/>
            <w:bottom w:val="none" w:sz="0" w:space="0" w:color="auto"/>
            <w:right w:val="none" w:sz="0" w:space="0" w:color="auto"/>
          </w:divBdr>
          <w:divsChild>
            <w:div w:id="671686564">
              <w:marLeft w:val="0"/>
              <w:marRight w:val="0"/>
              <w:marTop w:val="0"/>
              <w:marBottom w:val="0"/>
              <w:divBdr>
                <w:top w:val="none" w:sz="0" w:space="0" w:color="auto"/>
                <w:left w:val="none" w:sz="0" w:space="0" w:color="auto"/>
                <w:bottom w:val="none" w:sz="0" w:space="0" w:color="auto"/>
                <w:right w:val="none" w:sz="0" w:space="0" w:color="auto"/>
              </w:divBdr>
              <w:divsChild>
                <w:div w:id="15255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7315">
      <w:bodyDiv w:val="1"/>
      <w:marLeft w:val="0"/>
      <w:marRight w:val="0"/>
      <w:marTop w:val="0"/>
      <w:marBottom w:val="0"/>
      <w:divBdr>
        <w:top w:val="none" w:sz="0" w:space="0" w:color="auto"/>
        <w:left w:val="none" w:sz="0" w:space="0" w:color="auto"/>
        <w:bottom w:val="none" w:sz="0" w:space="0" w:color="auto"/>
        <w:right w:val="none" w:sz="0" w:space="0" w:color="auto"/>
      </w:divBdr>
      <w:divsChild>
        <w:div w:id="487552406">
          <w:marLeft w:val="0"/>
          <w:marRight w:val="0"/>
          <w:marTop w:val="0"/>
          <w:marBottom w:val="0"/>
          <w:divBdr>
            <w:top w:val="none" w:sz="0" w:space="0" w:color="auto"/>
            <w:left w:val="none" w:sz="0" w:space="0" w:color="auto"/>
            <w:bottom w:val="none" w:sz="0" w:space="0" w:color="auto"/>
            <w:right w:val="none" w:sz="0" w:space="0" w:color="auto"/>
          </w:divBdr>
          <w:divsChild>
            <w:div w:id="1512644704">
              <w:marLeft w:val="0"/>
              <w:marRight w:val="0"/>
              <w:marTop w:val="0"/>
              <w:marBottom w:val="0"/>
              <w:divBdr>
                <w:top w:val="none" w:sz="0" w:space="0" w:color="auto"/>
                <w:left w:val="none" w:sz="0" w:space="0" w:color="auto"/>
                <w:bottom w:val="none" w:sz="0" w:space="0" w:color="auto"/>
                <w:right w:val="none" w:sz="0" w:space="0" w:color="auto"/>
              </w:divBdr>
              <w:divsChild>
                <w:div w:id="6405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17008">
      <w:bodyDiv w:val="1"/>
      <w:marLeft w:val="0"/>
      <w:marRight w:val="0"/>
      <w:marTop w:val="0"/>
      <w:marBottom w:val="0"/>
      <w:divBdr>
        <w:top w:val="none" w:sz="0" w:space="0" w:color="auto"/>
        <w:left w:val="none" w:sz="0" w:space="0" w:color="auto"/>
        <w:bottom w:val="none" w:sz="0" w:space="0" w:color="auto"/>
        <w:right w:val="none" w:sz="0" w:space="0" w:color="auto"/>
      </w:divBdr>
      <w:divsChild>
        <w:div w:id="274335819">
          <w:marLeft w:val="0"/>
          <w:marRight w:val="0"/>
          <w:marTop w:val="0"/>
          <w:marBottom w:val="0"/>
          <w:divBdr>
            <w:top w:val="none" w:sz="0" w:space="0" w:color="auto"/>
            <w:left w:val="none" w:sz="0" w:space="0" w:color="auto"/>
            <w:bottom w:val="none" w:sz="0" w:space="0" w:color="auto"/>
            <w:right w:val="none" w:sz="0" w:space="0" w:color="auto"/>
          </w:divBdr>
          <w:divsChild>
            <w:div w:id="1406761539">
              <w:marLeft w:val="0"/>
              <w:marRight w:val="0"/>
              <w:marTop w:val="0"/>
              <w:marBottom w:val="0"/>
              <w:divBdr>
                <w:top w:val="none" w:sz="0" w:space="0" w:color="auto"/>
                <w:left w:val="none" w:sz="0" w:space="0" w:color="auto"/>
                <w:bottom w:val="none" w:sz="0" w:space="0" w:color="auto"/>
                <w:right w:val="none" w:sz="0" w:space="0" w:color="auto"/>
              </w:divBdr>
              <w:divsChild>
                <w:div w:id="15035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04884">
      <w:bodyDiv w:val="1"/>
      <w:marLeft w:val="0"/>
      <w:marRight w:val="0"/>
      <w:marTop w:val="0"/>
      <w:marBottom w:val="0"/>
      <w:divBdr>
        <w:top w:val="none" w:sz="0" w:space="0" w:color="auto"/>
        <w:left w:val="none" w:sz="0" w:space="0" w:color="auto"/>
        <w:bottom w:val="none" w:sz="0" w:space="0" w:color="auto"/>
        <w:right w:val="none" w:sz="0" w:space="0" w:color="auto"/>
      </w:divBdr>
      <w:divsChild>
        <w:div w:id="609581926">
          <w:marLeft w:val="0"/>
          <w:marRight w:val="0"/>
          <w:marTop w:val="0"/>
          <w:marBottom w:val="0"/>
          <w:divBdr>
            <w:top w:val="none" w:sz="0" w:space="0" w:color="auto"/>
            <w:left w:val="none" w:sz="0" w:space="0" w:color="auto"/>
            <w:bottom w:val="none" w:sz="0" w:space="0" w:color="auto"/>
            <w:right w:val="none" w:sz="0" w:space="0" w:color="auto"/>
          </w:divBdr>
          <w:divsChild>
            <w:div w:id="1546671638">
              <w:marLeft w:val="0"/>
              <w:marRight w:val="0"/>
              <w:marTop w:val="0"/>
              <w:marBottom w:val="0"/>
              <w:divBdr>
                <w:top w:val="none" w:sz="0" w:space="0" w:color="auto"/>
                <w:left w:val="none" w:sz="0" w:space="0" w:color="auto"/>
                <w:bottom w:val="none" w:sz="0" w:space="0" w:color="auto"/>
                <w:right w:val="none" w:sz="0" w:space="0" w:color="auto"/>
              </w:divBdr>
              <w:divsChild>
                <w:div w:id="18551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5715">
      <w:bodyDiv w:val="1"/>
      <w:marLeft w:val="0"/>
      <w:marRight w:val="0"/>
      <w:marTop w:val="0"/>
      <w:marBottom w:val="0"/>
      <w:divBdr>
        <w:top w:val="none" w:sz="0" w:space="0" w:color="auto"/>
        <w:left w:val="none" w:sz="0" w:space="0" w:color="auto"/>
        <w:bottom w:val="none" w:sz="0" w:space="0" w:color="auto"/>
        <w:right w:val="none" w:sz="0" w:space="0" w:color="auto"/>
      </w:divBdr>
      <w:divsChild>
        <w:div w:id="92828095">
          <w:marLeft w:val="0"/>
          <w:marRight w:val="0"/>
          <w:marTop w:val="0"/>
          <w:marBottom w:val="0"/>
          <w:divBdr>
            <w:top w:val="none" w:sz="0" w:space="0" w:color="auto"/>
            <w:left w:val="none" w:sz="0" w:space="0" w:color="auto"/>
            <w:bottom w:val="none" w:sz="0" w:space="0" w:color="auto"/>
            <w:right w:val="none" w:sz="0" w:space="0" w:color="auto"/>
          </w:divBdr>
          <w:divsChild>
            <w:div w:id="1870488109">
              <w:marLeft w:val="0"/>
              <w:marRight w:val="0"/>
              <w:marTop w:val="0"/>
              <w:marBottom w:val="0"/>
              <w:divBdr>
                <w:top w:val="none" w:sz="0" w:space="0" w:color="auto"/>
                <w:left w:val="none" w:sz="0" w:space="0" w:color="auto"/>
                <w:bottom w:val="none" w:sz="0" w:space="0" w:color="auto"/>
                <w:right w:val="none" w:sz="0" w:space="0" w:color="auto"/>
              </w:divBdr>
              <w:divsChild>
                <w:div w:id="3615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85609">
      <w:bodyDiv w:val="1"/>
      <w:marLeft w:val="0"/>
      <w:marRight w:val="0"/>
      <w:marTop w:val="0"/>
      <w:marBottom w:val="0"/>
      <w:divBdr>
        <w:top w:val="none" w:sz="0" w:space="0" w:color="auto"/>
        <w:left w:val="none" w:sz="0" w:space="0" w:color="auto"/>
        <w:bottom w:val="none" w:sz="0" w:space="0" w:color="auto"/>
        <w:right w:val="none" w:sz="0" w:space="0" w:color="auto"/>
      </w:divBdr>
    </w:div>
    <w:div w:id="1293707305">
      <w:bodyDiv w:val="1"/>
      <w:marLeft w:val="0"/>
      <w:marRight w:val="0"/>
      <w:marTop w:val="0"/>
      <w:marBottom w:val="0"/>
      <w:divBdr>
        <w:top w:val="none" w:sz="0" w:space="0" w:color="auto"/>
        <w:left w:val="none" w:sz="0" w:space="0" w:color="auto"/>
        <w:bottom w:val="none" w:sz="0" w:space="0" w:color="auto"/>
        <w:right w:val="none" w:sz="0" w:space="0" w:color="auto"/>
      </w:divBdr>
      <w:divsChild>
        <w:div w:id="618996213">
          <w:marLeft w:val="0"/>
          <w:marRight w:val="0"/>
          <w:marTop w:val="0"/>
          <w:marBottom w:val="0"/>
          <w:divBdr>
            <w:top w:val="none" w:sz="0" w:space="0" w:color="auto"/>
            <w:left w:val="none" w:sz="0" w:space="0" w:color="auto"/>
            <w:bottom w:val="none" w:sz="0" w:space="0" w:color="auto"/>
            <w:right w:val="none" w:sz="0" w:space="0" w:color="auto"/>
          </w:divBdr>
          <w:divsChild>
            <w:div w:id="1177424548">
              <w:marLeft w:val="0"/>
              <w:marRight w:val="0"/>
              <w:marTop w:val="0"/>
              <w:marBottom w:val="0"/>
              <w:divBdr>
                <w:top w:val="none" w:sz="0" w:space="0" w:color="auto"/>
                <w:left w:val="none" w:sz="0" w:space="0" w:color="auto"/>
                <w:bottom w:val="none" w:sz="0" w:space="0" w:color="auto"/>
                <w:right w:val="none" w:sz="0" w:space="0" w:color="auto"/>
              </w:divBdr>
              <w:divsChild>
                <w:div w:id="7015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9866">
      <w:bodyDiv w:val="1"/>
      <w:marLeft w:val="0"/>
      <w:marRight w:val="0"/>
      <w:marTop w:val="0"/>
      <w:marBottom w:val="0"/>
      <w:divBdr>
        <w:top w:val="none" w:sz="0" w:space="0" w:color="auto"/>
        <w:left w:val="none" w:sz="0" w:space="0" w:color="auto"/>
        <w:bottom w:val="none" w:sz="0" w:space="0" w:color="auto"/>
        <w:right w:val="none" w:sz="0" w:space="0" w:color="auto"/>
      </w:divBdr>
    </w:div>
    <w:div w:id="1682663901">
      <w:bodyDiv w:val="1"/>
      <w:marLeft w:val="0"/>
      <w:marRight w:val="0"/>
      <w:marTop w:val="0"/>
      <w:marBottom w:val="0"/>
      <w:divBdr>
        <w:top w:val="none" w:sz="0" w:space="0" w:color="auto"/>
        <w:left w:val="none" w:sz="0" w:space="0" w:color="auto"/>
        <w:bottom w:val="none" w:sz="0" w:space="0" w:color="auto"/>
        <w:right w:val="none" w:sz="0" w:space="0" w:color="auto"/>
      </w:divBdr>
      <w:divsChild>
        <w:div w:id="1523475245">
          <w:marLeft w:val="0"/>
          <w:marRight w:val="0"/>
          <w:marTop w:val="0"/>
          <w:marBottom w:val="0"/>
          <w:divBdr>
            <w:top w:val="none" w:sz="0" w:space="0" w:color="auto"/>
            <w:left w:val="none" w:sz="0" w:space="0" w:color="auto"/>
            <w:bottom w:val="none" w:sz="0" w:space="0" w:color="auto"/>
            <w:right w:val="none" w:sz="0" w:space="0" w:color="auto"/>
          </w:divBdr>
          <w:divsChild>
            <w:div w:id="1324817282">
              <w:marLeft w:val="0"/>
              <w:marRight w:val="0"/>
              <w:marTop w:val="0"/>
              <w:marBottom w:val="0"/>
              <w:divBdr>
                <w:top w:val="none" w:sz="0" w:space="0" w:color="auto"/>
                <w:left w:val="none" w:sz="0" w:space="0" w:color="auto"/>
                <w:bottom w:val="none" w:sz="0" w:space="0" w:color="auto"/>
                <w:right w:val="none" w:sz="0" w:space="0" w:color="auto"/>
              </w:divBdr>
              <w:divsChild>
                <w:div w:id="6097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42475">
      <w:bodyDiv w:val="1"/>
      <w:marLeft w:val="0"/>
      <w:marRight w:val="0"/>
      <w:marTop w:val="0"/>
      <w:marBottom w:val="0"/>
      <w:divBdr>
        <w:top w:val="none" w:sz="0" w:space="0" w:color="auto"/>
        <w:left w:val="none" w:sz="0" w:space="0" w:color="auto"/>
        <w:bottom w:val="none" w:sz="0" w:space="0" w:color="auto"/>
        <w:right w:val="none" w:sz="0" w:space="0" w:color="auto"/>
      </w:divBdr>
      <w:divsChild>
        <w:div w:id="217595261">
          <w:marLeft w:val="0"/>
          <w:marRight w:val="0"/>
          <w:marTop w:val="0"/>
          <w:marBottom w:val="0"/>
          <w:divBdr>
            <w:top w:val="none" w:sz="0" w:space="0" w:color="auto"/>
            <w:left w:val="none" w:sz="0" w:space="0" w:color="auto"/>
            <w:bottom w:val="none" w:sz="0" w:space="0" w:color="auto"/>
            <w:right w:val="none" w:sz="0" w:space="0" w:color="auto"/>
          </w:divBdr>
          <w:divsChild>
            <w:div w:id="1505322225">
              <w:marLeft w:val="0"/>
              <w:marRight w:val="0"/>
              <w:marTop w:val="0"/>
              <w:marBottom w:val="0"/>
              <w:divBdr>
                <w:top w:val="none" w:sz="0" w:space="0" w:color="auto"/>
                <w:left w:val="none" w:sz="0" w:space="0" w:color="auto"/>
                <w:bottom w:val="none" w:sz="0" w:space="0" w:color="auto"/>
                <w:right w:val="none" w:sz="0" w:space="0" w:color="auto"/>
              </w:divBdr>
              <w:divsChild>
                <w:div w:id="1625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4/55K1668001-MvT.pdf" TargetMode="External"/><Relationship Id="rId3" Type="http://schemas.openxmlformats.org/officeDocument/2006/relationships/settings" Target="settings.xml"/><Relationship Id="rId7" Type="http://schemas.openxmlformats.org/officeDocument/2006/relationships/hyperlink" Target="https://bcv-cds.be/wp-content/uploads/2024/04/55K1668001-ontwerp.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cv-cds.be/wp-content/uploads/2024/04/55K1668001-RvSt.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21D6F-E947-2142-8DCB-65DA72E9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8</cp:revision>
  <dcterms:created xsi:type="dcterms:W3CDTF">2021-12-30T13:07:00Z</dcterms:created>
  <dcterms:modified xsi:type="dcterms:W3CDTF">2024-06-12T05:35:00Z</dcterms:modified>
</cp:coreProperties>
</file>