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5"/>
        <w:gridCol w:w="5245"/>
        <w:gridCol w:w="5386"/>
        <w:gridCol w:w="567"/>
      </w:tblGrid>
      <w:tr w:rsidR="001203BA" w:rsidRPr="003F4BAD" w14:paraId="0D278029" w14:textId="77777777" w:rsidTr="003F4BAD">
        <w:tc>
          <w:tcPr>
            <w:tcW w:w="13178" w:type="dxa"/>
            <w:gridSpan w:val="4"/>
          </w:tcPr>
          <w:p w14:paraId="4BF5F7BB" w14:textId="77777777" w:rsidR="001203BA" w:rsidRPr="00B07AC9" w:rsidRDefault="003F4BAD" w:rsidP="003F4BAD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HOOFDSTUK 7. – S</w:t>
            </w:r>
            <w:r w:rsidRPr="003F4BAD">
              <w:rPr>
                <w:b/>
                <w:sz w:val="32"/>
                <w:szCs w:val="32"/>
                <w:lang w:val="nl-BE"/>
              </w:rPr>
              <w:t>anctieregeling.</w:t>
            </w:r>
          </w:p>
        </w:tc>
        <w:tc>
          <w:tcPr>
            <w:tcW w:w="567" w:type="dxa"/>
            <w:shd w:val="clear" w:color="auto" w:fill="auto"/>
          </w:tcPr>
          <w:p w14:paraId="362D912F" w14:textId="77777777" w:rsidR="001203BA" w:rsidRPr="000F28E4" w:rsidRDefault="000F28E4" w:rsidP="003F4BAD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  <w:r w:rsidRPr="003F4BAD"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BE" w:eastAsia="fr-FR"/>
              </w:rPr>
              <w:t xml:space="preserve">  </w:t>
            </w:r>
          </w:p>
        </w:tc>
      </w:tr>
      <w:tr w:rsidR="001203BA" w:rsidRPr="003F4BAD" w14:paraId="3029A51E" w14:textId="77777777" w:rsidTr="000540F7">
        <w:tc>
          <w:tcPr>
            <w:tcW w:w="2547" w:type="dxa"/>
            <w:gridSpan w:val="2"/>
          </w:tcPr>
          <w:p w14:paraId="3F6C4E55" w14:textId="77777777" w:rsidR="001203BA" w:rsidRPr="00B07AC9" w:rsidRDefault="003564D8" w:rsidP="007D7A6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5A7179">
              <w:rPr>
                <w:b/>
                <w:sz w:val="32"/>
                <w:szCs w:val="32"/>
                <w:lang w:val="nl-BE"/>
              </w:rPr>
              <w:t>12</w:t>
            </w:r>
            <w:r w:rsidR="000F28E4">
              <w:rPr>
                <w:b/>
                <w:sz w:val="32"/>
                <w:szCs w:val="32"/>
                <w:lang w:val="nl-BE"/>
              </w:rPr>
              <w:t>:102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3905D784" w14:textId="77777777" w:rsidR="001203BA" w:rsidRPr="007B17CA" w:rsidRDefault="001203BA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07790" w:rsidRPr="003F4BAD" w14:paraId="6F9A837D" w14:textId="77777777" w:rsidTr="000540F7">
        <w:tc>
          <w:tcPr>
            <w:tcW w:w="2122" w:type="dxa"/>
          </w:tcPr>
          <w:p w14:paraId="48B03249" w14:textId="77777777" w:rsidR="00107790" w:rsidRDefault="00107790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4"/>
            <w:shd w:val="clear" w:color="auto" w:fill="auto"/>
          </w:tcPr>
          <w:p w14:paraId="2A85F1D0" w14:textId="77777777" w:rsidR="00107790" w:rsidRPr="007B17CA" w:rsidRDefault="00107790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0F28E4" w:rsidRPr="00B675F8" w14:paraId="5E0C453F" w14:textId="77777777" w:rsidTr="000540F7">
        <w:trPr>
          <w:trHeight w:val="839"/>
        </w:trPr>
        <w:tc>
          <w:tcPr>
            <w:tcW w:w="2122" w:type="dxa"/>
          </w:tcPr>
          <w:p w14:paraId="15B344D4" w14:textId="5CC95800" w:rsidR="000F28E4" w:rsidRDefault="000F28E4" w:rsidP="003F4BAD">
            <w:pPr>
              <w:spacing w:after="0" w:line="240" w:lineRule="auto"/>
              <w:rPr>
                <w:rFonts w:cs="Calibri"/>
                <w:lang w:val="nl-BE"/>
              </w:rPr>
            </w:pPr>
            <w:r w:rsidRPr="007E0099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9643A95" w14:textId="77777777" w:rsidR="000F28E4" w:rsidRPr="000540F7" w:rsidRDefault="000F28E4" w:rsidP="000F28E4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8654E9">
              <w:rPr>
                <w:rFonts w:cs="Calibri"/>
                <w:bCs/>
                <w:iCs/>
                <w:lang w:val="nl-NL"/>
              </w:rPr>
              <w:t>Iedere belanghebbende derde kan zich beroepen op de niet-tegenwerpelijkheid van de gevolgen van de inbreng gedaan in strijd met de artikelen 12:93 tot 12:95 en 12:97 tot 12:99.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5281722" w14:textId="77777777" w:rsidR="000F28E4" w:rsidRPr="008654E9" w:rsidRDefault="000F28E4" w:rsidP="000F28E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654E9">
              <w:rPr>
                <w:rFonts w:cs="Calibri"/>
                <w:lang w:val="fr-FR"/>
              </w:rPr>
              <w:t>Tout tiers intéressé peut se prévaloir de l'inopposabilité à son égard des effets de l'apport réalisé en violation des articles 12:93 à 12:95 et 12:97 à 12:99.</w:t>
            </w:r>
          </w:p>
        </w:tc>
      </w:tr>
      <w:tr w:rsidR="00C72E4E" w:rsidRPr="00B675F8" w14:paraId="7374DD96" w14:textId="77777777" w:rsidTr="000540F7">
        <w:trPr>
          <w:trHeight w:val="839"/>
        </w:trPr>
        <w:tc>
          <w:tcPr>
            <w:tcW w:w="2122" w:type="dxa"/>
          </w:tcPr>
          <w:p w14:paraId="17C9702F" w14:textId="09F404AF" w:rsidR="00C72E4E" w:rsidRPr="009B4671" w:rsidRDefault="007E0099" w:rsidP="005F5C1E">
            <w:pPr>
              <w:spacing w:after="0" w:line="240" w:lineRule="auto"/>
              <w:rPr>
                <w:rFonts w:cs="Calibri"/>
                <w:lang w:val="fr-FR"/>
              </w:rPr>
            </w:pPr>
            <w:hyperlink r:id="rId4" w:history="1">
              <w:r w:rsidR="00C72E4E" w:rsidRPr="00B675F8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670" w:type="dxa"/>
            <w:gridSpan w:val="2"/>
            <w:shd w:val="clear" w:color="auto" w:fill="auto"/>
          </w:tcPr>
          <w:p w14:paraId="25E17CF0" w14:textId="77777777" w:rsidR="00C72E4E" w:rsidRPr="009B4671" w:rsidRDefault="00C72E4E" w:rsidP="005F5C1E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>
              <w:rPr>
                <w:rFonts w:cs="Calibri"/>
                <w:bCs/>
                <w:iCs/>
                <w:lang w:val="nl-BE"/>
              </w:rPr>
              <w:t xml:space="preserve">Art. 12:102. </w:t>
            </w:r>
            <w:r w:rsidRPr="009B4671">
              <w:rPr>
                <w:rFonts w:cs="Calibri"/>
                <w:bCs/>
                <w:iCs/>
                <w:lang w:val="nl-BE"/>
              </w:rPr>
              <w:t>Iedere belanghebbende derde kan zich beroepen op de niet-tegenwerpelijkheid van de gevolgen van de inbreng gedaan in strijd met de artikelen 12:93 tot 12:95 en 12:97 tot 12:99.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682D010" w14:textId="77777777" w:rsidR="00C72E4E" w:rsidRPr="009B4671" w:rsidRDefault="00C72E4E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540F7">
              <w:rPr>
                <w:rFonts w:cs="Calibri"/>
                <w:lang w:val="fr-FR"/>
              </w:rPr>
              <w:t>Art. 12:102. Tout tiers intéressé peut se prévaloir d</w:t>
            </w:r>
            <w:r w:rsidRPr="009B4671">
              <w:rPr>
                <w:rFonts w:cs="Calibri"/>
                <w:lang w:val="fr-FR"/>
              </w:rPr>
              <w:t>e l'inopposabilité à son égard des effets de l'apport réalisé en violation des articles 12:93 à 12:95 et 12:97 à 12:99.</w:t>
            </w:r>
          </w:p>
        </w:tc>
      </w:tr>
      <w:tr w:rsidR="00C72E4E" w:rsidRPr="00B675F8" w14:paraId="237A81AC" w14:textId="77777777" w:rsidTr="000540F7">
        <w:trPr>
          <w:trHeight w:val="1086"/>
        </w:trPr>
        <w:tc>
          <w:tcPr>
            <w:tcW w:w="2122" w:type="dxa"/>
          </w:tcPr>
          <w:p w14:paraId="6565B349" w14:textId="0E3C8C4A" w:rsidR="00C72E4E" w:rsidRDefault="007E0099" w:rsidP="003F4BAD">
            <w:pPr>
              <w:spacing w:after="0" w:line="240" w:lineRule="auto"/>
              <w:rPr>
                <w:rFonts w:cs="Calibri"/>
                <w:lang w:val="nl-BE"/>
              </w:rPr>
            </w:pPr>
            <w:hyperlink r:id="rId5" w:history="1">
              <w:r w:rsidR="00C72E4E" w:rsidRPr="00B675F8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670" w:type="dxa"/>
            <w:gridSpan w:val="2"/>
            <w:shd w:val="clear" w:color="auto" w:fill="auto"/>
          </w:tcPr>
          <w:p w14:paraId="099BD1A9" w14:textId="77777777" w:rsidR="00C72E4E" w:rsidRPr="008654E9" w:rsidRDefault="00C72E4E" w:rsidP="000F28E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12:102. </w:t>
            </w:r>
            <w:r w:rsidRPr="003F4BAD">
              <w:rPr>
                <w:rFonts w:cs="Calibri"/>
                <w:bCs/>
                <w:iCs/>
                <w:lang w:val="nl-NL"/>
              </w:rPr>
              <w:t>Iedere belanghebbende derde kan zich beroepen op de niet-tegenwerpelijkheid van de gevolgen van de inbreng gedaan in strijd met de artikelen 12:93 tot 12:95 en 12:97 tot 12:99.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9C70794" w14:textId="77777777" w:rsidR="00C72E4E" w:rsidRPr="003F4BAD" w:rsidRDefault="00C72E4E" w:rsidP="000F28E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540F7">
              <w:rPr>
                <w:rFonts w:cs="Calibri"/>
                <w:lang w:val="fr-FR"/>
              </w:rPr>
              <w:t>Art. 12:102. Tout tiers intéressé peut se prévaloir d</w:t>
            </w:r>
            <w:r w:rsidRPr="003F4BAD">
              <w:rPr>
                <w:rFonts w:cs="Calibri"/>
                <w:lang w:val="fr-FR"/>
              </w:rPr>
              <w:t>e l'inopposabilité à son égard des effets de l'apport réalisé en violation des articles 12:93 à 12:95 et 12:97 à 12:99.</w:t>
            </w:r>
          </w:p>
        </w:tc>
      </w:tr>
      <w:tr w:rsidR="00C72E4E" w:rsidRPr="00B675F8" w14:paraId="40218659" w14:textId="77777777" w:rsidTr="000540F7">
        <w:trPr>
          <w:trHeight w:val="848"/>
        </w:trPr>
        <w:tc>
          <w:tcPr>
            <w:tcW w:w="2122" w:type="dxa"/>
          </w:tcPr>
          <w:p w14:paraId="2DCD7336" w14:textId="04746A81" w:rsidR="00C72E4E" w:rsidRDefault="007E0099" w:rsidP="003F4BAD">
            <w:pPr>
              <w:spacing w:after="0" w:line="240" w:lineRule="auto"/>
              <w:rPr>
                <w:rFonts w:cs="Calibri"/>
                <w:lang w:val="fr-FR"/>
              </w:rPr>
            </w:pPr>
            <w:hyperlink r:id="rId6" w:history="1">
              <w:r w:rsidR="00C72E4E" w:rsidRPr="00B675F8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670" w:type="dxa"/>
            <w:gridSpan w:val="2"/>
            <w:shd w:val="clear" w:color="auto" w:fill="auto"/>
          </w:tcPr>
          <w:p w14:paraId="3DC99C49" w14:textId="77777777" w:rsidR="00C72E4E" w:rsidRPr="00107790" w:rsidRDefault="00C72E4E" w:rsidP="00107790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 w:rsidRPr="00107790">
              <w:rPr>
                <w:rFonts w:cs="Calibri"/>
                <w:bCs/>
                <w:iCs/>
                <w:lang w:val="nl-BE"/>
              </w:rPr>
              <w:t>Artikelen 12:92 – 12:102.</w:t>
            </w:r>
          </w:p>
          <w:p w14:paraId="7A7D62CD" w14:textId="77777777" w:rsidR="00C72E4E" w:rsidRPr="009B4671" w:rsidRDefault="00C72E4E" w:rsidP="000F28E4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 w:rsidRPr="00107790">
              <w:rPr>
                <w:rFonts w:cs="Calibri"/>
                <w:bCs/>
                <w:iCs/>
                <w:lang w:val="nl-BE"/>
              </w:rPr>
              <w:t>Deze bepalingen hernemen de artikelen 759-769 W.Venn., met volgende ve</w:t>
            </w:r>
            <w:r>
              <w:rPr>
                <w:rFonts w:cs="Calibri"/>
                <w:bCs/>
                <w:iCs/>
                <w:lang w:val="nl-BE"/>
              </w:rPr>
              <w:t>rduidelijkingen en wijzigingen.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7443AD9" w14:textId="77777777" w:rsidR="00C72E4E" w:rsidRPr="00107790" w:rsidRDefault="00C72E4E" w:rsidP="0010779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107790">
              <w:rPr>
                <w:rFonts w:cs="Calibri"/>
                <w:lang w:val="fr-FR"/>
              </w:rPr>
              <w:t>Articles 12:92 – 12:102.</w:t>
            </w:r>
          </w:p>
          <w:p w14:paraId="4F9271B8" w14:textId="77777777" w:rsidR="00C72E4E" w:rsidRPr="00107790" w:rsidRDefault="00C72E4E" w:rsidP="0010779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107790">
              <w:rPr>
                <w:rFonts w:cs="Calibri"/>
                <w:lang w:val="fr-FR"/>
              </w:rPr>
              <w:t>Ces dispositions reprennent les articles 759 à 769 C. soc., moyennant les précisions et modifications suivantes.</w:t>
            </w:r>
          </w:p>
        </w:tc>
      </w:tr>
      <w:tr w:rsidR="00C72E4E" w:rsidRPr="00107790" w14:paraId="492C3CEE" w14:textId="77777777" w:rsidTr="000540F7">
        <w:trPr>
          <w:trHeight w:val="420"/>
        </w:trPr>
        <w:tc>
          <w:tcPr>
            <w:tcW w:w="2122" w:type="dxa"/>
          </w:tcPr>
          <w:p w14:paraId="612BCA63" w14:textId="7B717C24" w:rsidR="00C72E4E" w:rsidRDefault="007E0099" w:rsidP="003F4BAD">
            <w:pPr>
              <w:spacing w:after="0" w:line="240" w:lineRule="auto"/>
              <w:rPr>
                <w:rFonts w:cs="Calibri"/>
                <w:lang w:val="fr-FR"/>
              </w:rPr>
            </w:pPr>
            <w:hyperlink r:id="rId7" w:history="1">
              <w:r w:rsidR="00C72E4E" w:rsidRPr="00B675F8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670" w:type="dxa"/>
            <w:gridSpan w:val="2"/>
            <w:shd w:val="clear" w:color="auto" w:fill="auto"/>
          </w:tcPr>
          <w:p w14:paraId="680031CC" w14:textId="77777777" w:rsidR="00C72E4E" w:rsidRPr="00107790" w:rsidRDefault="00C72E4E" w:rsidP="00107790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>
              <w:rPr>
                <w:rFonts w:cs="Calibri"/>
                <w:bCs/>
                <w:iCs/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A834649" w14:textId="77777777" w:rsidR="00C72E4E" w:rsidRPr="00107790" w:rsidRDefault="00C72E4E" w:rsidP="0010779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412A4B35" w14:textId="77777777" w:rsidR="001203BA" w:rsidRPr="00107790" w:rsidRDefault="001203BA" w:rsidP="001203BA">
      <w:pPr>
        <w:rPr>
          <w:lang w:val="fr-FR"/>
        </w:rPr>
      </w:pPr>
    </w:p>
    <w:p w14:paraId="0E93F471" w14:textId="77777777" w:rsidR="00A820D7" w:rsidRPr="00107790" w:rsidRDefault="00A820D7">
      <w:pPr>
        <w:rPr>
          <w:lang w:val="fr-FR"/>
        </w:rPr>
      </w:pPr>
    </w:p>
    <w:sectPr w:rsidR="00A820D7" w:rsidRPr="00107790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25BD5"/>
    <w:rsid w:val="000540F7"/>
    <w:rsid w:val="000B17B4"/>
    <w:rsid w:val="000D6EAF"/>
    <w:rsid w:val="000E14C5"/>
    <w:rsid w:val="000F28E4"/>
    <w:rsid w:val="00102D66"/>
    <w:rsid w:val="00104701"/>
    <w:rsid w:val="00107790"/>
    <w:rsid w:val="001124BA"/>
    <w:rsid w:val="0011776E"/>
    <w:rsid w:val="001203BA"/>
    <w:rsid w:val="001274D6"/>
    <w:rsid w:val="00142276"/>
    <w:rsid w:val="00155DAF"/>
    <w:rsid w:val="00160A1B"/>
    <w:rsid w:val="00181A11"/>
    <w:rsid w:val="00191BAC"/>
    <w:rsid w:val="00193578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D76A6"/>
    <w:rsid w:val="002E665B"/>
    <w:rsid w:val="002F7950"/>
    <w:rsid w:val="00300B84"/>
    <w:rsid w:val="003564D8"/>
    <w:rsid w:val="00357D30"/>
    <w:rsid w:val="00367502"/>
    <w:rsid w:val="003831C0"/>
    <w:rsid w:val="003A1C6D"/>
    <w:rsid w:val="003A3D34"/>
    <w:rsid w:val="003A7991"/>
    <w:rsid w:val="003F24EE"/>
    <w:rsid w:val="003F4BAD"/>
    <w:rsid w:val="00415C03"/>
    <w:rsid w:val="00423115"/>
    <w:rsid w:val="00441E30"/>
    <w:rsid w:val="004443F2"/>
    <w:rsid w:val="0047203B"/>
    <w:rsid w:val="004A39E3"/>
    <w:rsid w:val="004C3052"/>
    <w:rsid w:val="004C63AD"/>
    <w:rsid w:val="00525185"/>
    <w:rsid w:val="00562DB1"/>
    <w:rsid w:val="005A3C17"/>
    <w:rsid w:val="005A7179"/>
    <w:rsid w:val="005B25E3"/>
    <w:rsid w:val="005C7CE3"/>
    <w:rsid w:val="00621861"/>
    <w:rsid w:val="00645D75"/>
    <w:rsid w:val="00650083"/>
    <w:rsid w:val="006A735D"/>
    <w:rsid w:val="00706549"/>
    <w:rsid w:val="00710A28"/>
    <w:rsid w:val="00710C81"/>
    <w:rsid w:val="00736D86"/>
    <w:rsid w:val="007463B2"/>
    <w:rsid w:val="007532BF"/>
    <w:rsid w:val="007B17CA"/>
    <w:rsid w:val="007B581C"/>
    <w:rsid w:val="007D7A6B"/>
    <w:rsid w:val="007E0099"/>
    <w:rsid w:val="00817848"/>
    <w:rsid w:val="00833A2D"/>
    <w:rsid w:val="00871F22"/>
    <w:rsid w:val="00887B0C"/>
    <w:rsid w:val="008B2189"/>
    <w:rsid w:val="008D71F7"/>
    <w:rsid w:val="008E164C"/>
    <w:rsid w:val="00905B7A"/>
    <w:rsid w:val="009172D4"/>
    <w:rsid w:val="00931894"/>
    <w:rsid w:val="00935E60"/>
    <w:rsid w:val="00943313"/>
    <w:rsid w:val="009460AE"/>
    <w:rsid w:val="009627E9"/>
    <w:rsid w:val="009A4260"/>
    <w:rsid w:val="009B3BE6"/>
    <w:rsid w:val="009B4671"/>
    <w:rsid w:val="009D0B3E"/>
    <w:rsid w:val="009F648C"/>
    <w:rsid w:val="009F7906"/>
    <w:rsid w:val="00A0074A"/>
    <w:rsid w:val="00A01EFB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2D5F"/>
    <w:rsid w:val="00AC6758"/>
    <w:rsid w:val="00B15F17"/>
    <w:rsid w:val="00B41CE6"/>
    <w:rsid w:val="00B43558"/>
    <w:rsid w:val="00B50606"/>
    <w:rsid w:val="00B6333A"/>
    <w:rsid w:val="00B675F8"/>
    <w:rsid w:val="00B779CF"/>
    <w:rsid w:val="00B97CC3"/>
    <w:rsid w:val="00BA26D2"/>
    <w:rsid w:val="00BB376A"/>
    <w:rsid w:val="00BE2349"/>
    <w:rsid w:val="00BF1861"/>
    <w:rsid w:val="00C01CFA"/>
    <w:rsid w:val="00C12A40"/>
    <w:rsid w:val="00C162B3"/>
    <w:rsid w:val="00C72E4E"/>
    <w:rsid w:val="00C80883"/>
    <w:rsid w:val="00C86467"/>
    <w:rsid w:val="00C86CC5"/>
    <w:rsid w:val="00C91A38"/>
    <w:rsid w:val="00CA5454"/>
    <w:rsid w:val="00CB210A"/>
    <w:rsid w:val="00CC6422"/>
    <w:rsid w:val="00D46773"/>
    <w:rsid w:val="00D66D82"/>
    <w:rsid w:val="00D8405B"/>
    <w:rsid w:val="00D96002"/>
    <w:rsid w:val="00E15CFE"/>
    <w:rsid w:val="00E21F8D"/>
    <w:rsid w:val="00E26DE4"/>
    <w:rsid w:val="00E511E0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A1E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styleId="Hyperlink">
    <w:name w:val="Hyperlink"/>
    <w:basedOn w:val="Standaardalinea-lettertype"/>
    <w:uiPriority w:val="99"/>
    <w:unhideWhenUsed/>
    <w:rsid w:val="00B675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6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10</cp:revision>
  <dcterms:created xsi:type="dcterms:W3CDTF">2019-11-04T11:01:00Z</dcterms:created>
  <dcterms:modified xsi:type="dcterms:W3CDTF">2024-06-12T06:22:00Z</dcterms:modified>
</cp:coreProperties>
</file>