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
        <w:gridCol w:w="5244"/>
        <w:gridCol w:w="5812"/>
      </w:tblGrid>
      <w:tr w:rsidR="001203BA" w:rsidRPr="009460AE" w14:paraId="474A0091" w14:textId="77777777" w:rsidTr="00D03C88">
        <w:tc>
          <w:tcPr>
            <w:tcW w:w="2689" w:type="dxa"/>
            <w:gridSpan w:val="2"/>
          </w:tcPr>
          <w:p w14:paraId="743E89BE" w14:textId="77777777" w:rsidR="001203BA" w:rsidRPr="00B07AC9" w:rsidRDefault="00141EB0" w:rsidP="007D7A6B">
            <w:pPr>
              <w:rPr>
                <w:b/>
                <w:sz w:val="32"/>
                <w:szCs w:val="32"/>
                <w:lang w:val="nl-BE"/>
              </w:rPr>
            </w:pPr>
            <w:r>
              <w:rPr>
                <w:b/>
                <w:sz w:val="32"/>
                <w:szCs w:val="32"/>
                <w:lang w:val="nl-BE"/>
              </w:rPr>
              <w:t>ARTIKEL 12:117</w:t>
            </w:r>
          </w:p>
        </w:tc>
        <w:tc>
          <w:tcPr>
            <w:tcW w:w="11056" w:type="dxa"/>
            <w:gridSpan w:val="2"/>
            <w:shd w:val="clear" w:color="auto" w:fill="auto"/>
          </w:tcPr>
          <w:p w14:paraId="1E37371C" w14:textId="77777777" w:rsidR="001203BA" w:rsidRPr="000F28E4" w:rsidRDefault="001203BA" w:rsidP="005D1201">
            <w:pPr>
              <w:jc w:val="center"/>
              <w:rPr>
                <w:rFonts w:ascii="Cambria" w:eastAsia="Calibri" w:hAnsi="Cambria" w:cs="Times New Roman"/>
                <w:b/>
                <w:bCs/>
                <w:color w:val="4F81BD"/>
                <w:sz w:val="32"/>
                <w:szCs w:val="26"/>
                <w:lang w:val="nl-NL" w:eastAsia="fr-FR"/>
              </w:rPr>
            </w:pPr>
          </w:p>
        </w:tc>
      </w:tr>
      <w:tr w:rsidR="001203BA" w:rsidRPr="00441E30" w14:paraId="5FEFC54B" w14:textId="77777777" w:rsidTr="00D03C88">
        <w:tc>
          <w:tcPr>
            <w:tcW w:w="2122" w:type="dxa"/>
          </w:tcPr>
          <w:p w14:paraId="7D049AE1" w14:textId="77777777" w:rsidR="001203BA" w:rsidRPr="00B07AC9" w:rsidRDefault="001203BA" w:rsidP="007D7A6B">
            <w:pPr>
              <w:rPr>
                <w:b/>
                <w:sz w:val="32"/>
                <w:szCs w:val="32"/>
                <w:lang w:val="nl-BE"/>
              </w:rPr>
            </w:pPr>
          </w:p>
        </w:tc>
        <w:tc>
          <w:tcPr>
            <w:tcW w:w="11623" w:type="dxa"/>
            <w:gridSpan w:val="3"/>
            <w:shd w:val="clear" w:color="auto" w:fill="auto"/>
          </w:tcPr>
          <w:p w14:paraId="34B6B2A2" w14:textId="77777777" w:rsidR="001203BA" w:rsidRPr="007B17CA" w:rsidRDefault="001203BA" w:rsidP="007B17CA">
            <w:pPr>
              <w:jc w:val="center"/>
              <w:rPr>
                <w:rFonts w:ascii="Cambria" w:eastAsia="Calibri" w:hAnsi="Cambria" w:cs="Times New Roman"/>
                <w:b/>
                <w:bCs/>
                <w:color w:val="4F81BD"/>
                <w:sz w:val="32"/>
                <w:szCs w:val="26"/>
                <w:lang w:val="nl-NL" w:eastAsia="fr-FR"/>
              </w:rPr>
            </w:pPr>
          </w:p>
        </w:tc>
      </w:tr>
      <w:tr w:rsidR="00141EB0" w:rsidRPr="00D03C88" w14:paraId="57096DA2" w14:textId="77777777" w:rsidTr="00D03C88">
        <w:trPr>
          <w:trHeight w:val="1937"/>
        </w:trPr>
        <w:tc>
          <w:tcPr>
            <w:tcW w:w="2122" w:type="dxa"/>
          </w:tcPr>
          <w:p w14:paraId="0C70C34A" w14:textId="77777777" w:rsidR="00141EB0" w:rsidRDefault="00141EB0" w:rsidP="00D43387">
            <w:pPr>
              <w:spacing w:after="0" w:line="240" w:lineRule="auto"/>
              <w:rPr>
                <w:rFonts w:cs="Calibri"/>
                <w:lang w:val="nl-BE"/>
              </w:rPr>
            </w:pPr>
            <w:r>
              <w:rPr>
                <w:rFonts w:cs="Calibri"/>
                <w:lang w:val="nl-BE"/>
              </w:rPr>
              <w:t>WVV</w:t>
            </w:r>
          </w:p>
        </w:tc>
        <w:tc>
          <w:tcPr>
            <w:tcW w:w="5811" w:type="dxa"/>
            <w:gridSpan w:val="2"/>
            <w:shd w:val="clear" w:color="auto" w:fill="auto"/>
          </w:tcPr>
          <w:p w14:paraId="5D0096B8" w14:textId="77777777" w:rsidR="00141EB0" w:rsidRPr="004B104A" w:rsidRDefault="00141EB0" w:rsidP="00141EB0">
            <w:pPr>
              <w:spacing w:after="0" w:line="240" w:lineRule="auto"/>
              <w:jc w:val="both"/>
              <w:rPr>
                <w:rFonts w:cs="Calibri"/>
                <w:lang w:val="nl-NL"/>
              </w:rPr>
            </w:pPr>
            <w:r w:rsidRPr="00982AF5">
              <w:rPr>
                <w:rFonts w:cs="Calibri"/>
                <w:bCs/>
                <w:iCs/>
                <w:lang w:val="nl-NL"/>
              </w:rPr>
              <w:t>De instrumenterende notaris moet na onderzoek het bestaan en zowel de interne als de externe wettigheid bevestigen van de rechtshandelingen en formaliteiten waartoe de vennootschap waarvoor hij optreedt, is gehouden. Hiertoe geeft hij onverwijld een attest af waaruit afdoende blijkt dat de aan de fusie voorafgaande handelingen en formaliteiten omschreven in deze afdeling correct zijn verricht.</w:t>
            </w:r>
          </w:p>
        </w:tc>
        <w:tc>
          <w:tcPr>
            <w:tcW w:w="5812" w:type="dxa"/>
            <w:shd w:val="clear" w:color="auto" w:fill="auto"/>
          </w:tcPr>
          <w:p w14:paraId="7AA2EA74" w14:textId="77777777" w:rsidR="00141EB0" w:rsidRPr="00982AF5" w:rsidRDefault="00141EB0" w:rsidP="00141EB0">
            <w:pPr>
              <w:spacing w:after="0" w:line="240" w:lineRule="auto"/>
              <w:jc w:val="both"/>
              <w:rPr>
                <w:rFonts w:cs="Calibri"/>
                <w:lang w:val="fr-FR"/>
              </w:rPr>
            </w:pPr>
            <w:r w:rsidRPr="00982AF5">
              <w:rPr>
                <w:rFonts w:cs="Calibri"/>
                <w:lang w:val="fr-FR"/>
              </w:rPr>
              <w:t>Le notaire instrumentant doit vérifier et attester l</w:t>
            </w:r>
            <w:bookmarkStart w:id="0" w:name="_GoBack"/>
            <w:r w:rsidRPr="00982AF5">
              <w:rPr>
                <w:rFonts w:cs="Calibri"/>
                <w:lang w:val="fr-FR"/>
              </w:rPr>
              <w:t>'</w:t>
            </w:r>
            <w:bookmarkEnd w:id="0"/>
            <w:r w:rsidRPr="00982AF5">
              <w:rPr>
                <w:rFonts w:cs="Calibri"/>
                <w:lang w:val="fr-FR"/>
              </w:rPr>
              <w:t>existence et la légalité, tant interne qu'externe, des actes et formalités incombant à la société auprès de laquelle il instrumente. A cette fin, il délivre sans délai un certificat attestant de façon incontestable l'accomplissement correct des actes et des formalités préalables à la fusion transfrontalière prévues dans la présente section.</w:t>
            </w:r>
          </w:p>
        </w:tc>
      </w:tr>
      <w:tr w:rsidR="00B82FEB" w:rsidRPr="00D03C88" w14:paraId="26934480" w14:textId="77777777" w:rsidTr="00D03C88">
        <w:trPr>
          <w:trHeight w:val="1937"/>
        </w:trPr>
        <w:tc>
          <w:tcPr>
            <w:tcW w:w="2122" w:type="dxa"/>
          </w:tcPr>
          <w:p w14:paraId="1FBFC5AE" w14:textId="77777777" w:rsidR="00B82FEB" w:rsidRDefault="00B82FEB" w:rsidP="005F5C1E">
            <w:pPr>
              <w:spacing w:after="0" w:line="240" w:lineRule="auto"/>
              <w:rPr>
                <w:rFonts w:cs="Calibri"/>
                <w:lang w:val="nl-BE"/>
              </w:rPr>
            </w:pPr>
            <w:r>
              <w:rPr>
                <w:rFonts w:cs="Calibri"/>
                <w:lang w:val="nl-BE"/>
              </w:rPr>
              <w:t>Ontwerp</w:t>
            </w:r>
          </w:p>
        </w:tc>
        <w:tc>
          <w:tcPr>
            <w:tcW w:w="5811" w:type="dxa"/>
            <w:gridSpan w:val="2"/>
            <w:shd w:val="clear" w:color="auto" w:fill="auto"/>
          </w:tcPr>
          <w:p w14:paraId="1B0F7848" w14:textId="77777777" w:rsidR="00B82FEB" w:rsidRPr="00D43387" w:rsidRDefault="00B82FEB" w:rsidP="005F5C1E">
            <w:pPr>
              <w:spacing w:after="0" w:line="240" w:lineRule="auto"/>
              <w:jc w:val="both"/>
              <w:rPr>
                <w:rFonts w:cs="Calibri"/>
                <w:bCs/>
                <w:iCs/>
                <w:lang w:val="nl-NL"/>
              </w:rPr>
            </w:pPr>
            <w:r>
              <w:rPr>
                <w:rFonts w:cs="Calibri"/>
                <w:bCs/>
                <w:iCs/>
                <w:lang w:val="nl-NL"/>
              </w:rPr>
              <w:t xml:space="preserve">Art. 12:117. </w:t>
            </w:r>
            <w:r w:rsidRPr="009A7BD4">
              <w:rPr>
                <w:rFonts w:cs="Calibri"/>
                <w:bCs/>
                <w:iCs/>
                <w:lang w:val="nl-NL"/>
              </w:rPr>
              <w:t>De instrumenterende notaris moet na onderzoek het bestaan en zowel de interne als de externe wettigheid bevestigen van de rechtshandelingen en formaliteiten waartoe de vennootschap waarvoor hij optreedt, is gehouden. Hiertoe geeft hij onverwijld een attest af waaruit afdoende blijkt dat de aan de fusie voorafgaande handelingen en formaliteiten omschreven in deze afdeling correct zijn verricht.</w:t>
            </w:r>
          </w:p>
        </w:tc>
        <w:tc>
          <w:tcPr>
            <w:tcW w:w="5812" w:type="dxa"/>
            <w:shd w:val="clear" w:color="auto" w:fill="auto"/>
          </w:tcPr>
          <w:p w14:paraId="3B86345A" w14:textId="77777777" w:rsidR="00B82FEB" w:rsidRPr="009A7BD4" w:rsidRDefault="00B82FEB" w:rsidP="005F5C1E">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117. </w:t>
            </w:r>
            <w:r w:rsidRPr="009A7BD4">
              <w:rPr>
                <w:rFonts w:cs="Calibri"/>
                <w:lang w:val="fr-FR"/>
              </w:rPr>
              <w:t>Le notaire instrumentant doit vérifier et attester l'existence et la légalité, tant interne qu'externe, des actes et formalités incombant à la société auprès de laquelle il instrumente. A cette fin, il délivre sans délai un certificat attestant de façon incontestable l'accomplissement correct des actes et des formalités préalables à la fusion transfrontalière prévues dans la présente section.</w:t>
            </w:r>
          </w:p>
        </w:tc>
      </w:tr>
      <w:tr w:rsidR="00B82FEB" w:rsidRPr="00D03C88" w14:paraId="3A49DB70" w14:textId="77777777" w:rsidTr="00D03C88">
        <w:trPr>
          <w:trHeight w:val="1822"/>
        </w:trPr>
        <w:tc>
          <w:tcPr>
            <w:tcW w:w="2122" w:type="dxa"/>
          </w:tcPr>
          <w:p w14:paraId="7AB7BA3D" w14:textId="77777777" w:rsidR="00B82FEB" w:rsidRDefault="00B82FEB" w:rsidP="00D43387">
            <w:pPr>
              <w:spacing w:after="0" w:line="240" w:lineRule="auto"/>
              <w:rPr>
                <w:rFonts w:cs="Calibri"/>
                <w:lang w:val="nl-BE"/>
              </w:rPr>
            </w:pPr>
            <w:r>
              <w:rPr>
                <w:rFonts w:cs="Calibri"/>
                <w:lang w:val="nl-BE"/>
              </w:rPr>
              <w:t>Voorontwerp</w:t>
            </w:r>
          </w:p>
        </w:tc>
        <w:tc>
          <w:tcPr>
            <w:tcW w:w="5811" w:type="dxa"/>
            <w:gridSpan w:val="2"/>
            <w:shd w:val="clear" w:color="auto" w:fill="auto"/>
          </w:tcPr>
          <w:p w14:paraId="7570AAE5" w14:textId="77777777" w:rsidR="00B82FEB" w:rsidRPr="00982AF5" w:rsidRDefault="00B82FEB" w:rsidP="00141EB0">
            <w:pPr>
              <w:spacing w:after="0" w:line="240" w:lineRule="auto"/>
              <w:jc w:val="both"/>
              <w:rPr>
                <w:rFonts w:cs="Calibri"/>
                <w:bCs/>
                <w:iCs/>
                <w:lang w:val="nl-NL"/>
              </w:rPr>
            </w:pPr>
            <w:r>
              <w:rPr>
                <w:rFonts w:cs="Calibri"/>
                <w:bCs/>
                <w:iCs/>
                <w:lang w:val="nl-NL"/>
              </w:rPr>
              <w:t xml:space="preserve">Art. 12:117. </w:t>
            </w:r>
            <w:r w:rsidRPr="00D43387">
              <w:rPr>
                <w:rFonts w:cs="Calibri"/>
                <w:bCs/>
                <w:iCs/>
                <w:lang w:val="nl-NL"/>
              </w:rPr>
              <w:t>De instrumenterende notaris moet na onderzoek het bestaan en zowel de interne als de externe wettigheid bevestigen van de rechtshandelingen en formaliteiten waartoe de vennootschap waarvoor hij optreedt, is gehouden. Hiertoe geeft hij onverwijld een attest af waaruit afdoende blijkt dat de aan de fusie voorafgaande handelingen en formaliteiten omschreven in deze afdeling correct zijn verricht.</w:t>
            </w:r>
          </w:p>
        </w:tc>
        <w:tc>
          <w:tcPr>
            <w:tcW w:w="5812" w:type="dxa"/>
            <w:shd w:val="clear" w:color="auto" w:fill="auto"/>
          </w:tcPr>
          <w:p w14:paraId="7E591364" w14:textId="77777777" w:rsidR="00B82FEB" w:rsidRPr="00D43387" w:rsidRDefault="00B82FEB" w:rsidP="00141EB0">
            <w:pPr>
              <w:spacing w:after="0" w:line="240" w:lineRule="auto"/>
              <w:jc w:val="both"/>
              <w:rPr>
                <w:rFonts w:cs="Calibri"/>
                <w:lang w:val="fr-FR"/>
              </w:rPr>
            </w:pPr>
            <w:r>
              <w:rPr>
                <w:rFonts w:cs="Calibri"/>
                <w:lang w:val="fr-FR"/>
              </w:rPr>
              <w:t xml:space="preserve">Art. </w:t>
            </w:r>
            <w:proofErr w:type="gramStart"/>
            <w:r>
              <w:rPr>
                <w:rFonts w:cs="Calibri"/>
                <w:lang w:val="fr-FR"/>
              </w:rPr>
              <w:t>12:</w:t>
            </w:r>
            <w:proofErr w:type="gramEnd"/>
            <w:r>
              <w:rPr>
                <w:rFonts w:cs="Calibri"/>
                <w:lang w:val="fr-FR"/>
              </w:rPr>
              <w:t xml:space="preserve">117. </w:t>
            </w:r>
            <w:r w:rsidRPr="00D43387">
              <w:rPr>
                <w:rFonts w:cs="Calibri"/>
                <w:lang w:val="fr-FR"/>
              </w:rPr>
              <w:t>Le notaire instrumentant doit vérifier et attester l'existence et la légalité, tant interne qu'externe, des actes et formalités incombant à la société auprès de laquelle il instrumente. A cette fin, il délivre sans délai un certificat attestant de façon incontestable l'accomplissement correct des actes et des formalités préalables à la fusion transfrontalière prévues dans la présente section.</w:t>
            </w:r>
          </w:p>
        </w:tc>
      </w:tr>
      <w:tr w:rsidR="00B82FEB" w:rsidRPr="00D03C88" w14:paraId="5735F2C0" w14:textId="77777777" w:rsidTr="00D03C88">
        <w:trPr>
          <w:trHeight w:val="841"/>
        </w:trPr>
        <w:tc>
          <w:tcPr>
            <w:tcW w:w="2122" w:type="dxa"/>
          </w:tcPr>
          <w:p w14:paraId="3E74381F" w14:textId="77777777" w:rsidR="00B82FEB" w:rsidRPr="0053501F" w:rsidRDefault="00B82FEB" w:rsidP="00D43387">
            <w:pPr>
              <w:spacing w:after="0" w:line="240" w:lineRule="auto"/>
              <w:rPr>
                <w:rFonts w:cs="Calibri"/>
                <w:lang w:val="fr-FR"/>
              </w:rPr>
            </w:pPr>
            <w:proofErr w:type="spellStart"/>
            <w:r>
              <w:rPr>
                <w:rFonts w:cs="Calibri"/>
                <w:lang w:val="fr-FR"/>
              </w:rPr>
              <w:t>MvT</w:t>
            </w:r>
            <w:proofErr w:type="spellEnd"/>
          </w:p>
        </w:tc>
        <w:tc>
          <w:tcPr>
            <w:tcW w:w="5811" w:type="dxa"/>
            <w:gridSpan w:val="2"/>
            <w:shd w:val="clear" w:color="auto" w:fill="auto"/>
          </w:tcPr>
          <w:p w14:paraId="0B99CE56" w14:textId="77777777" w:rsidR="00B82FEB" w:rsidRPr="004B104A" w:rsidRDefault="00B82FEB" w:rsidP="0053501F">
            <w:pPr>
              <w:spacing w:after="0" w:line="240" w:lineRule="auto"/>
              <w:jc w:val="both"/>
              <w:rPr>
                <w:rFonts w:cs="Calibri"/>
                <w:bCs/>
                <w:iCs/>
                <w:lang w:val="nl-BE"/>
              </w:rPr>
            </w:pPr>
            <w:r w:rsidRPr="004B104A">
              <w:rPr>
                <w:rFonts w:cs="Calibri"/>
                <w:bCs/>
                <w:iCs/>
                <w:lang w:val="nl-BE"/>
              </w:rPr>
              <w:t>Artikelen 12:106 – 12:119.</w:t>
            </w:r>
          </w:p>
          <w:p w14:paraId="268D8140" w14:textId="77777777" w:rsidR="00B82FEB" w:rsidRPr="0053501F" w:rsidRDefault="00B82FEB" w:rsidP="0053501F">
            <w:pPr>
              <w:spacing w:after="0" w:line="240" w:lineRule="auto"/>
              <w:jc w:val="both"/>
              <w:rPr>
                <w:rFonts w:cs="Calibri"/>
                <w:bCs/>
                <w:iCs/>
                <w:lang w:val="nl-BE"/>
              </w:rPr>
            </w:pPr>
            <w:r w:rsidRPr="0053501F">
              <w:rPr>
                <w:rFonts w:cs="Calibri"/>
                <w:bCs/>
                <w:iCs/>
                <w:lang w:val="nl-BE"/>
              </w:rPr>
              <w:t>Deze bepalingen hernemen de artikelen 772/1-772/14 W.Venn., met volgende verduidelijkingen en wijzigingen.</w:t>
            </w:r>
          </w:p>
        </w:tc>
        <w:tc>
          <w:tcPr>
            <w:tcW w:w="5812" w:type="dxa"/>
            <w:shd w:val="clear" w:color="auto" w:fill="auto"/>
          </w:tcPr>
          <w:p w14:paraId="1DA43D15" w14:textId="77777777" w:rsidR="00B82FEB" w:rsidRPr="004B104A" w:rsidRDefault="00B82FEB" w:rsidP="0053501F">
            <w:pPr>
              <w:spacing w:after="0" w:line="240" w:lineRule="auto"/>
              <w:jc w:val="both"/>
              <w:rPr>
                <w:rFonts w:cs="Calibri"/>
                <w:lang w:val="fr-FR"/>
              </w:rPr>
            </w:pPr>
            <w:r w:rsidRPr="004B104A">
              <w:rPr>
                <w:rFonts w:cs="Calibri"/>
                <w:lang w:val="fr-FR"/>
              </w:rPr>
              <w:t xml:space="preserve">Articles </w:t>
            </w:r>
            <w:proofErr w:type="gramStart"/>
            <w:r w:rsidRPr="004B104A">
              <w:rPr>
                <w:rFonts w:cs="Calibri"/>
                <w:lang w:val="fr-FR"/>
              </w:rPr>
              <w:t>12:</w:t>
            </w:r>
            <w:proofErr w:type="gramEnd"/>
            <w:r w:rsidRPr="004B104A">
              <w:rPr>
                <w:rFonts w:cs="Calibri"/>
                <w:lang w:val="fr-FR"/>
              </w:rPr>
              <w:t>106 – 12:119.</w:t>
            </w:r>
          </w:p>
          <w:p w14:paraId="40C81762" w14:textId="77777777" w:rsidR="00B82FEB" w:rsidRPr="0053501F" w:rsidRDefault="00B82FEB" w:rsidP="0053501F">
            <w:pPr>
              <w:spacing w:after="0" w:line="240" w:lineRule="auto"/>
              <w:jc w:val="both"/>
              <w:rPr>
                <w:rFonts w:cs="Calibri"/>
                <w:lang w:val="fr-FR"/>
              </w:rPr>
            </w:pPr>
            <w:r w:rsidRPr="0053501F">
              <w:rPr>
                <w:rFonts w:cs="Calibri"/>
                <w:lang w:val="fr-FR"/>
              </w:rPr>
              <w:t>Ces dispositions reprennent les articles 772/1 à 772/14 C. soc., moyennant les précisions et modifications suivantes.</w:t>
            </w:r>
          </w:p>
        </w:tc>
      </w:tr>
      <w:tr w:rsidR="00B82FEB" w:rsidRPr="0053501F" w14:paraId="52DDF56E" w14:textId="77777777" w:rsidTr="00D03C88">
        <w:trPr>
          <w:trHeight w:val="416"/>
        </w:trPr>
        <w:tc>
          <w:tcPr>
            <w:tcW w:w="2122" w:type="dxa"/>
          </w:tcPr>
          <w:p w14:paraId="4BAE9C05" w14:textId="77777777" w:rsidR="00B82FEB" w:rsidRDefault="00B82FEB" w:rsidP="00D43387">
            <w:pPr>
              <w:spacing w:after="0" w:line="240" w:lineRule="auto"/>
              <w:rPr>
                <w:rFonts w:cs="Calibri"/>
                <w:lang w:val="fr-FR"/>
              </w:rPr>
            </w:pPr>
            <w:proofErr w:type="spellStart"/>
            <w:r>
              <w:rPr>
                <w:rFonts w:cs="Calibri"/>
                <w:lang w:val="fr-FR"/>
              </w:rPr>
              <w:t>RvSt</w:t>
            </w:r>
            <w:proofErr w:type="spellEnd"/>
          </w:p>
        </w:tc>
        <w:tc>
          <w:tcPr>
            <w:tcW w:w="5811" w:type="dxa"/>
            <w:gridSpan w:val="2"/>
            <w:shd w:val="clear" w:color="auto" w:fill="auto"/>
          </w:tcPr>
          <w:p w14:paraId="04A457B8" w14:textId="77777777" w:rsidR="00B82FEB" w:rsidRPr="0053501F" w:rsidRDefault="00B82FEB" w:rsidP="0053501F">
            <w:pPr>
              <w:spacing w:after="0" w:line="240" w:lineRule="auto"/>
              <w:jc w:val="both"/>
              <w:rPr>
                <w:rFonts w:cs="Calibri"/>
                <w:bCs/>
                <w:iCs/>
                <w:lang w:val="fr-FR"/>
              </w:rPr>
            </w:pPr>
            <w:proofErr w:type="spellStart"/>
            <w:r>
              <w:rPr>
                <w:rFonts w:cs="Calibri"/>
                <w:bCs/>
                <w:iCs/>
                <w:lang w:val="fr-FR"/>
              </w:rPr>
              <w:t>Geen</w:t>
            </w:r>
            <w:proofErr w:type="spellEnd"/>
            <w:r>
              <w:rPr>
                <w:rFonts w:cs="Calibri"/>
                <w:bCs/>
                <w:iCs/>
                <w:lang w:val="fr-FR"/>
              </w:rPr>
              <w:t xml:space="preserve"> </w:t>
            </w:r>
            <w:proofErr w:type="spellStart"/>
            <w:r>
              <w:rPr>
                <w:rFonts w:cs="Calibri"/>
                <w:bCs/>
                <w:iCs/>
                <w:lang w:val="fr-FR"/>
              </w:rPr>
              <w:t>opmerkingen</w:t>
            </w:r>
            <w:proofErr w:type="spellEnd"/>
            <w:r>
              <w:rPr>
                <w:rFonts w:cs="Calibri"/>
                <w:bCs/>
                <w:iCs/>
                <w:lang w:val="fr-FR"/>
              </w:rPr>
              <w:t>.</w:t>
            </w:r>
          </w:p>
        </w:tc>
        <w:tc>
          <w:tcPr>
            <w:tcW w:w="5812" w:type="dxa"/>
            <w:shd w:val="clear" w:color="auto" w:fill="auto"/>
          </w:tcPr>
          <w:p w14:paraId="2FC5D089" w14:textId="77777777" w:rsidR="00B82FEB" w:rsidRPr="0053501F" w:rsidRDefault="00B82FEB" w:rsidP="0053501F">
            <w:pPr>
              <w:spacing w:after="0" w:line="240" w:lineRule="auto"/>
              <w:jc w:val="both"/>
              <w:rPr>
                <w:rFonts w:cs="Calibri"/>
                <w:lang w:val="nl-BE"/>
              </w:rPr>
            </w:pPr>
            <w:r>
              <w:rPr>
                <w:rFonts w:cs="Calibri"/>
                <w:lang w:val="nl-BE"/>
              </w:rPr>
              <w:t>Pas de remarques.</w:t>
            </w:r>
          </w:p>
        </w:tc>
      </w:tr>
    </w:tbl>
    <w:p w14:paraId="281D58C0" w14:textId="77777777" w:rsidR="001203BA" w:rsidRPr="0053501F" w:rsidRDefault="001203BA" w:rsidP="001203BA">
      <w:pPr>
        <w:rPr>
          <w:lang w:val="fr-FR"/>
        </w:rPr>
      </w:pPr>
    </w:p>
    <w:p w14:paraId="08E284C9" w14:textId="77777777" w:rsidR="00A820D7" w:rsidRPr="0053501F" w:rsidRDefault="00A820D7">
      <w:pPr>
        <w:rPr>
          <w:lang w:val="fr-FR"/>
        </w:rPr>
      </w:pPr>
    </w:p>
    <w:sectPr w:rsidR="00A820D7" w:rsidRPr="0053501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20B72"/>
    <w:rsid w:val="00021FCB"/>
    <w:rsid w:val="00025BD5"/>
    <w:rsid w:val="000B17B4"/>
    <w:rsid w:val="000D6EAF"/>
    <w:rsid w:val="000E14C5"/>
    <w:rsid w:val="000F28E4"/>
    <w:rsid w:val="00102D66"/>
    <w:rsid w:val="00104701"/>
    <w:rsid w:val="001124BA"/>
    <w:rsid w:val="0011776E"/>
    <w:rsid w:val="001203BA"/>
    <w:rsid w:val="001274D6"/>
    <w:rsid w:val="00141EB0"/>
    <w:rsid w:val="00142276"/>
    <w:rsid w:val="00155DAF"/>
    <w:rsid w:val="00160A1B"/>
    <w:rsid w:val="00164A72"/>
    <w:rsid w:val="00181A11"/>
    <w:rsid w:val="00191BAC"/>
    <w:rsid w:val="00193578"/>
    <w:rsid w:val="001C36B7"/>
    <w:rsid w:val="00214ADA"/>
    <w:rsid w:val="002337A0"/>
    <w:rsid w:val="00251BBF"/>
    <w:rsid w:val="00262FAA"/>
    <w:rsid w:val="0026584A"/>
    <w:rsid w:val="00274C37"/>
    <w:rsid w:val="00276531"/>
    <w:rsid w:val="0029665A"/>
    <w:rsid w:val="00297FF6"/>
    <w:rsid w:val="002A5831"/>
    <w:rsid w:val="002B3F2F"/>
    <w:rsid w:val="002D76A6"/>
    <w:rsid w:val="002E665B"/>
    <w:rsid w:val="002F7950"/>
    <w:rsid w:val="00300B84"/>
    <w:rsid w:val="003564D8"/>
    <w:rsid w:val="00357D30"/>
    <w:rsid w:val="00367502"/>
    <w:rsid w:val="003831C0"/>
    <w:rsid w:val="003A1C6D"/>
    <w:rsid w:val="003A3D34"/>
    <w:rsid w:val="003A7991"/>
    <w:rsid w:val="003F24EE"/>
    <w:rsid w:val="00415C03"/>
    <w:rsid w:val="00423115"/>
    <w:rsid w:val="00441E30"/>
    <w:rsid w:val="004443F2"/>
    <w:rsid w:val="0047203B"/>
    <w:rsid w:val="004A39E3"/>
    <w:rsid w:val="004B104A"/>
    <w:rsid w:val="004C3052"/>
    <w:rsid w:val="004C63AD"/>
    <w:rsid w:val="00502CB1"/>
    <w:rsid w:val="00525185"/>
    <w:rsid w:val="0053501F"/>
    <w:rsid w:val="005415E2"/>
    <w:rsid w:val="00552D57"/>
    <w:rsid w:val="00562DB1"/>
    <w:rsid w:val="005A3C17"/>
    <w:rsid w:val="005A7179"/>
    <w:rsid w:val="005B25E3"/>
    <w:rsid w:val="005B2F3D"/>
    <w:rsid w:val="005C7CE3"/>
    <w:rsid w:val="005D1201"/>
    <w:rsid w:val="00621861"/>
    <w:rsid w:val="0064095E"/>
    <w:rsid w:val="00645D75"/>
    <w:rsid w:val="00650083"/>
    <w:rsid w:val="006A735D"/>
    <w:rsid w:val="00706549"/>
    <w:rsid w:val="00710A28"/>
    <w:rsid w:val="00710C81"/>
    <w:rsid w:val="00736D86"/>
    <w:rsid w:val="00741F2C"/>
    <w:rsid w:val="007463B2"/>
    <w:rsid w:val="007532BF"/>
    <w:rsid w:val="007B17CA"/>
    <w:rsid w:val="007B581C"/>
    <w:rsid w:val="007D7A6B"/>
    <w:rsid w:val="00817848"/>
    <w:rsid w:val="00833A2D"/>
    <w:rsid w:val="00871F22"/>
    <w:rsid w:val="00887B0C"/>
    <w:rsid w:val="008B2189"/>
    <w:rsid w:val="008D71F7"/>
    <w:rsid w:val="008E164C"/>
    <w:rsid w:val="00905B7A"/>
    <w:rsid w:val="009172D4"/>
    <w:rsid w:val="00931894"/>
    <w:rsid w:val="00935E60"/>
    <w:rsid w:val="00943313"/>
    <w:rsid w:val="009460AE"/>
    <w:rsid w:val="009627E9"/>
    <w:rsid w:val="009A4260"/>
    <w:rsid w:val="009A7BD4"/>
    <w:rsid w:val="009B3BE6"/>
    <w:rsid w:val="009D0B3E"/>
    <w:rsid w:val="009F648C"/>
    <w:rsid w:val="009F7906"/>
    <w:rsid w:val="00A0074A"/>
    <w:rsid w:val="00A01EFB"/>
    <w:rsid w:val="00A152BE"/>
    <w:rsid w:val="00A72BBC"/>
    <w:rsid w:val="00A7675D"/>
    <w:rsid w:val="00A820D7"/>
    <w:rsid w:val="00AA0CC7"/>
    <w:rsid w:val="00AA1A7C"/>
    <w:rsid w:val="00AA5A92"/>
    <w:rsid w:val="00AC1B18"/>
    <w:rsid w:val="00AC1E91"/>
    <w:rsid w:val="00AC2D5F"/>
    <w:rsid w:val="00AC6758"/>
    <w:rsid w:val="00B15F17"/>
    <w:rsid w:val="00B41CE6"/>
    <w:rsid w:val="00B43558"/>
    <w:rsid w:val="00B50606"/>
    <w:rsid w:val="00B61E27"/>
    <w:rsid w:val="00B6333A"/>
    <w:rsid w:val="00B779CF"/>
    <w:rsid w:val="00B82FEB"/>
    <w:rsid w:val="00B97CC3"/>
    <w:rsid w:val="00BA1659"/>
    <w:rsid w:val="00BA26D2"/>
    <w:rsid w:val="00BB376A"/>
    <w:rsid w:val="00BE2349"/>
    <w:rsid w:val="00BF1861"/>
    <w:rsid w:val="00C01CC2"/>
    <w:rsid w:val="00C01CFA"/>
    <w:rsid w:val="00C12A40"/>
    <w:rsid w:val="00C162B3"/>
    <w:rsid w:val="00C1753D"/>
    <w:rsid w:val="00C80883"/>
    <w:rsid w:val="00C86467"/>
    <w:rsid w:val="00C86CC5"/>
    <w:rsid w:val="00C91A38"/>
    <w:rsid w:val="00CA5454"/>
    <w:rsid w:val="00CB210A"/>
    <w:rsid w:val="00CC6422"/>
    <w:rsid w:val="00D03C88"/>
    <w:rsid w:val="00D42D9B"/>
    <w:rsid w:val="00D43387"/>
    <w:rsid w:val="00D46773"/>
    <w:rsid w:val="00D66D82"/>
    <w:rsid w:val="00D8405B"/>
    <w:rsid w:val="00D96002"/>
    <w:rsid w:val="00E15CFE"/>
    <w:rsid w:val="00E21F8D"/>
    <w:rsid w:val="00E26DE4"/>
    <w:rsid w:val="00E511E0"/>
    <w:rsid w:val="00EB4929"/>
    <w:rsid w:val="00ED31D7"/>
    <w:rsid w:val="00ED3B78"/>
    <w:rsid w:val="00EE44AC"/>
    <w:rsid w:val="00F03C83"/>
    <w:rsid w:val="00F234EA"/>
    <w:rsid w:val="00F301AA"/>
    <w:rsid w:val="00F31AEF"/>
    <w:rsid w:val="00F54E2C"/>
    <w:rsid w:val="00F61965"/>
    <w:rsid w:val="00F63D28"/>
    <w:rsid w:val="00F67171"/>
    <w:rsid w:val="00F74E3F"/>
    <w:rsid w:val="00F9299A"/>
    <w:rsid w:val="00FD0C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4CDD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2375</Characters>
  <Application>Microsoft Macintosh Word</Application>
  <DocSecurity>0</DocSecurity>
  <Lines>59</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2019-11-04T12:30:00Z</dcterms:created>
  <dcterms:modified xsi:type="dcterms:W3CDTF">2022-01-25T09:09:00Z</dcterms:modified>
</cp:coreProperties>
</file>