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5C40314" w14:textId="77777777" w:rsidTr="002B3F2F">
        <w:tc>
          <w:tcPr>
            <w:tcW w:w="2122" w:type="dxa"/>
          </w:tcPr>
          <w:p w14:paraId="36B6F464"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F61965">
              <w:rPr>
                <w:b/>
                <w:sz w:val="32"/>
                <w:szCs w:val="32"/>
                <w:lang w:val="nl-BE"/>
              </w:rPr>
              <w:t>:76</w:t>
            </w:r>
          </w:p>
        </w:tc>
        <w:tc>
          <w:tcPr>
            <w:tcW w:w="11623" w:type="dxa"/>
            <w:gridSpan w:val="2"/>
            <w:shd w:val="clear" w:color="auto" w:fill="auto"/>
          </w:tcPr>
          <w:p w14:paraId="23CA5FA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083F8855" w14:textId="77777777" w:rsidTr="002B3F2F">
        <w:tc>
          <w:tcPr>
            <w:tcW w:w="2122" w:type="dxa"/>
          </w:tcPr>
          <w:p w14:paraId="6BB6CA57" w14:textId="77777777" w:rsidR="001203BA" w:rsidRPr="00B07AC9" w:rsidRDefault="001203BA" w:rsidP="007D7A6B">
            <w:pPr>
              <w:rPr>
                <w:b/>
                <w:sz w:val="32"/>
                <w:szCs w:val="32"/>
                <w:lang w:val="nl-BE"/>
              </w:rPr>
            </w:pPr>
          </w:p>
        </w:tc>
        <w:tc>
          <w:tcPr>
            <w:tcW w:w="11623" w:type="dxa"/>
            <w:gridSpan w:val="2"/>
            <w:shd w:val="clear" w:color="auto" w:fill="auto"/>
          </w:tcPr>
          <w:p w14:paraId="5E7D4EA9"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F61965" w:rsidRPr="008D5087" w14:paraId="0C5D23F5" w14:textId="77777777" w:rsidTr="00AB337C">
        <w:trPr>
          <w:trHeight w:val="3921"/>
        </w:trPr>
        <w:tc>
          <w:tcPr>
            <w:tcW w:w="2122" w:type="dxa"/>
          </w:tcPr>
          <w:p w14:paraId="085DDDAE" w14:textId="77777777" w:rsidR="00F61965" w:rsidRDefault="00F61965" w:rsidP="00F61965">
            <w:pPr>
              <w:spacing w:after="0" w:line="240" w:lineRule="auto"/>
              <w:jc w:val="both"/>
              <w:rPr>
                <w:rFonts w:cs="Calibri"/>
                <w:lang w:val="nl-BE"/>
              </w:rPr>
            </w:pPr>
            <w:r>
              <w:rPr>
                <w:rFonts w:cs="Calibri"/>
                <w:lang w:val="nl-BE"/>
              </w:rPr>
              <w:t>WVV</w:t>
            </w:r>
          </w:p>
        </w:tc>
        <w:tc>
          <w:tcPr>
            <w:tcW w:w="5811" w:type="dxa"/>
            <w:shd w:val="clear" w:color="auto" w:fill="auto"/>
          </w:tcPr>
          <w:p w14:paraId="140E038D" w14:textId="77777777" w:rsidR="00F61965" w:rsidRPr="00F61965" w:rsidRDefault="00F61965" w:rsidP="00F61965">
            <w:pPr>
              <w:spacing w:after="0" w:line="240" w:lineRule="auto"/>
              <w:jc w:val="both"/>
              <w:rPr>
                <w:rFonts w:cs="Calibri"/>
                <w:lang w:val="nl-BE"/>
              </w:rPr>
            </w:pPr>
            <w:r w:rsidRPr="00270C87">
              <w:rPr>
                <w:rFonts w:cs="Calibri"/>
                <w:lang w:val="nl-NL"/>
              </w:rPr>
              <w:t>Wanneer een gedeelte van de activa van het vermogen niet in het splitsingsvoorstel wordt toebedeeld en interpretatie van dit voorstel geen uitsluitsel geeft over de verdeling ervan, wordt dit gedeelte of de waarde ervan verdeeld over alle nieuwe vennootschappen, evenredig aan het nettoactief dat aan ieder van hen in het splitsingsvoorstel is toebedeeld.</w:t>
            </w:r>
          </w:p>
          <w:p w14:paraId="78AAF98F" w14:textId="77777777" w:rsidR="00F61965" w:rsidRDefault="00F61965" w:rsidP="00F61965">
            <w:pPr>
              <w:spacing w:after="0" w:line="240" w:lineRule="auto"/>
              <w:jc w:val="both"/>
              <w:rPr>
                <w:rFonts w:cs="Calibri"/>
                <w:lang w:val="nl-NL"/>
              </w:rPr>
            </w:pPr>
          </w:p>
          <w:p w14:paraId="5234CBC6" w14:textId="77777777" w:rsidR="00F61965" w:rsidRDefault="00A03135" w:rsidP="00F61965">
            <w:pPr>
              <w:spacing w:after="0" w:line="240" w:lineRule="auto"/>
              <w:jc w:val="both"/>
              <w:rPr>
                <w:rFonts w:cs="Calibri"/>
                <w:lang w:val="nl-NL"/>
              </w:rPr>
            </w:pPr>
            <w:r>
              <w:rPr>
                <w:rFonts w:cs="Calibri"/>
                <w:lang w:val="nl-BE"/>
              </w:rPr>
              <w:t xml:space="preserve"> </w:t>
            </w:r>
            <w:r w:rsidR="00F61965" w:rsidRPr="00270C87">
              <w:rPr>
                <w:rFonts w:cs="Calibri"/>
                <w:lang w:val="nl-NL"/>
              </w:rPr>
              <w:t>Wanneer een gedeelte van de passiva van het vermogen niet in het splitsingsvoorstel wordt toebedeeld en interpretatie van dit voorstel geen uitsluitsel geeft over de verdeling ervan, zijn alle nieuwe vennootschappen daarvoor hoofdelijk aansprakelijk.</w:t>
            </w:r>
          </w:p>
          <w:p w14:paraId="4E7A4944" w14:textId="77777777" w:rsidR="00F61965" w:rsidRDefault="00F61965" w:rsidP="00F61965">
            <w:pPr>
              <w:spacing w:after="0" w:line="240" w:lineRule="auto"/>
              <w:jc w:val="both"/>
              <w:rPr>
                <w:rFonts w:cs="Calibri"/>
                <w:lang w:val="nl-NL"/>
              </w:rPr>
            </w:pPr>
          </w:p>
          <w:p w14:paraId="4459837B" w14:textId="77777777" w:rsidR="00F61965" w:rsidRPr="00ED28F6" w:rsidRDefault="00F61965" w:rsidP="00F61965">
            <w:pPr>
              <w:spacing w:after="0" w:line="240" w:lineRule="auto"/>
              <w:jc w:val="both"/>
              <w:rPr>
                <w:rFonts w:cs="Calibri"/>
                <w:bCs/>
                <w:iCs/>
                <w:lang w:val="nl-BE"/>
              </w:rPr>
            </w:pPr>
            <w:r w:rsidRPr="00270C87">
              <w:rPr>
                <w:rFonts w:cs="Calibri"/>
                <w:bCs/>
                <w:iCs/>
                <w:lang w:val="nl-BE"/>
              </w:rPr>
              <w:t>De opbrengsten en kosten van welbepaalde activa en passiva worden vanaf de in artikel 12:75, tweede lid, 5°, bedoelde datum toegerekend aan de vennootschap waaraan die activa en passiva werden toebedeeld.</w:t>
            </w:r>
          </w:p>
        </w:tc>
        <w:tc>
          <w:tcPr>
            <w:tcW w:w="5812" w:type="dxa"/>
            <w:shd w:val="clear" w:color="auto" w:fill="auto"/>
          </w:tcPr>
          <w:p w14:paraId="3915CDFD" w14:textId="77777777" w:rsidR="00F61965" w:rsidRPr="00F61965" w:rsidRDefault="00F61965" w:rsidP="00F61965">
            <w:pPr>
              <w:spacing w:after="0" w:line="240" w:lineRule="auto"/>
              <w:jc w:val="both"/>
              <w:rPr>
                <w:rFonts w:cs="Calibri"/>
                <w:lang w:val="fr-FR"/>
              </w:rPr>
            </w:pPr>
            <w:r w:rsidRPr="00270C87">
              <w:rPr>
                <w:rFonts w:cs="Calibri"/>
                <w:lang w:val="fr-BE"/>
              </w:rPr>
              <w:t>Lorsqu'un élément du patrimoine actif n'est pas attribué dans le projet de scission et que l'interprétation du projet ne permet pas de décider de la répartition de cet élément, celui-ci ou sa contrevaleur est réparti entre toutes les nouvelles sociétés de manière proportionnelle à l'actif net attribué à chacune de celles-ci dans le projet de scission.</w:t>
            </w:r>
          </w:p>
          <w:p w14:paraId="148C479E" w14:textId="77777777" w:rsidR="00F61965" w:rsidRPr="00270C87" w:rsidRDefault="00F61965" w:rsidP="00F61965">
            <w:pPr>
              <w:spacing w:after="0" w:line="240" w:lineRule="auto"/>
              <w:jc w:val="both"/>
              <w:rPr>
                <w:rFonts w:cs="Calibri"/>
                <w:lang w:val="fr-BE"/>
              </w:rPr>
            </w:pPr>
          </w:p>
          <w:p w14:paraId="64A430AB" w14:textId="77777777" w:rsidR="00F61965" w:rsidRDefault="00F61965" w:rsidP="00F61965">
            <w:pPr>
              <w:spacing w:after="0" w:line="240" w:lineRule="auto"/>
              <w:jc w:val="both"/>
              <w:rPr>
                <w:rFonts w:cs="Calibri"/>
                <w:lang w:val="fr-FR"/>
              </w:rPr>
            </w:pPr>
            <w:r w:rsidRPr="00270C87">
              <w:rPr>
                <w:rFonts w:cs="Calibri"/>
                <w:lang w:val="fr-FR"/>
              </w:rPr>
              <w:t>Lorsqu'un élément du patrimoine passif n'est pas attribué dans le projet de scission et que l'interprétation du projet ne permet pas de décider de la répartition de cet élément, chacune des nouvelles sociétés en est solidairement responsable.</w:t>
            </w:r>
          </w:p>
          <w:p w14:paraId="09EBF9C6" w14:textId="77777777" w:rsidR="00F61965" w:rsidRDefault="00F61965" w:rsidP="00F61965">
            <w:pPr>
              <w:spacing w:after="0" w:line="240" w:lineRule="auto"/>
              <w:jc w:val="both"/>
              <w:rPr>
                <w:rFonts w:cs="Calibri"/>
                <w:lang w:val="fr-FR"/>
              </w:rPr>
            </w:pPr>
          </w:p>
          <w:p w14:paraId="3CD9D8C0" w14:textId="574A4FD3" w:rsidR="00F61965" w:rsidRPr="00270C87" w:rsidRDefault="00087151" w:rsidP="00A03135">
            <w:pPr>
              <w:spacing w:after="0" w:line="240" w:lineRule="auto"/>
              <w:jc w:val="both"/>
              <w:rPr>
                <w:rFonts w:cs="Calibri"/>
                <w:lang w:val="fr-BE"/>
              </w:rPr>
            </w:pPr>
            <w:r>
              <w:rPr>
                <w:rFonts w:cs="Calibri"/>
                <w:lang w:val="fr-BE"/>
              </w:rPr>
              <w:t>À compter de la date visée à l'</w:t>
            </w:r>
            <w:r w:rsidR="00F61965" w:rsidRPr="00270C87">
              <w:rPr>
                <w:rFonts w:cs="Calibri"/>
                <w:lang w:val="fr-BE"/>
              </w:rPr>
              <w:t>article 12:75, alinéa 2</w:t>
            </w:r>
            <w:r>
              <w:rPr>
                <w:rFonts w:cs="Calibri"/>
                <w:lang w:val="fr-BE"/>
              </w:rPr>
              <w:t>, 5°, les produits et charges d'</w:t>
            </w:r>
            <w:r w:rsidR="00F61965" w:rsidRPr="00270C87">
              <w:rPr>
                <w:rFonts w:cs="Calibri"/>
                <w:lang w:val="fr-BE"/>
              </w:rPr>
              <w:t>actifs et de passifs déterminés sont imputés à la société à laquelle ces actifs et passifs ont été attribués.</w:t>
            </w:r>
          </w:p>
        </w:tc>
      </w:tr>
      <w:tr w:rsidR="008D5087" w:rsidRPr="008D5087" w14:paraId="01CF61D4" w14:textId="77777777" w:rsidTr="00AB337C">
        <w:trPr>
          <w:trHeight w:val="3921"/>
        </w:trPr>
        <w:tc>
          <w:tcPr>
            <w:tcW w:w="2122" w:type="dxa"/>
          </w:tcPr>
          <w:p w14:paraId="6C391830" w14:textId="77777777" w:rsidR="008D5087" w:rsidRDefault="008D5087"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6561CD64" w14:textId="77777777" w:rsidR="008D5087" w:rsidRPr="00286652" w:rsidRDefault="008D5087" w:rsidP="005F5C1E">
            <w:pPr>
              <w:spacing w:after="0" w:line="240" w:lineRule="auto"/>
              <w:jc w:val="both"/>
              <w:rPr>
                <w:rFonts w:cs="Calibri"/>
                <w:lang w:val="nl-BE"/>
              </w:rPr>
            </w:pPr>
            <w:r w:rsidRPr="00286652">
              <w:rPr>
                <w:rFonts w:cs="Calibri"/>
                <w:lang w:val="nl-BE"/>
              </w:rPr>
              <w:t>Art. 12:</w:t>
            </w:r>
            <w:r>
              <w:rPr>
                <w:rFonts w:cs="Calibri"/>
                <w:lang w:val="nl-BE"/>
              </w:rPr>
              <w:t xml:space="preserve">76. </w:t>
            </w:r>
            <w:r w:rsidRPr="00286652">
              <w:rPr>
                <w:rFonts w:cs="Calibri"/>
                <w:lang w:val="nl-BE"/>
              </w:rPr>
              <w:t>Wanneer een gedeelte van de activa van het vermogen niet in het splitsingsvoorstel wordt toebedeeld en interpretatie van dit voorstel geen uitsluitsel geeft over de verdeling ervan, wordt dit gedeelte of de waarde ervan verdeeld over alle nieuwe vennootschappen, evenredig aan het nettoactief dat aan ieder van hen in het splitsingsvoorstel is toebedeeld.</w:t>
            </w:r>
          </w:p>
          <w:p w14:paraId="74115B27" w14:textId="77777777" w:rsidR="008D5087" w:rsidRDefault="008D5087" w:rsidP="005F5C1E">
            <w:pPr>
              <w:spacing w:after="0" w:line="240" w:lineRule="auto"/>
              <w:jc w:val="both"/>
              <w:rPr>
                <w:rFonts w:cs="Calibri"/>
                <w:lang w:val="nl-BE"/>
              </w:rPr>
            </w:pPr>
            <w:r w:rsidRPr="00286652">
              <w:rPr>
                <w:rFonts w:cs="Calibri"/>
                <w:lang w:val="nl-BE"/>
              </w:rPr>
              <w:t xml:space="preserve">  </w:t>
            </w:r>
          </w:p>
          <w:p w14:paraId="58E2E19A" w14:textId="77777777" w:rsidR="008D5087" w:rsidRPr="00286652" w:rsidRDefault="008D5087" w:rsidP="005F5C1E">
            <w:pPr>
              <w:spacing w:after="0" w:line="240" w:lineRule="auto"/>
              <w:jc w:val="both"/>
              <w:rPr>
                <w:rFonts w:cs="Calibri"/>
                <w:lang w:val="nl-BE"/>
              </w:rPr>
            </w:pPr>
            <w:r w:rsidRPr="00286652">
              <w:rPr>
                <w:rFonts w:cs="Calibri"/>
                <w:lang w:val="nl-BE"/>
              </w:rPr>
              <w:t>Wanneer een gedeelte van de passiva van het vermogen niet in het splitsingsvoorstel wordt toebedeeld en interpretatie van dit voorstel geen uitsluitsel geeft over de verdeling ervan, zijn alle nieuwe vennootschappen daarvoor hoofdelijk aansprakelijk.</w:t>
            </w:r>
          </w:p>
          <w:p w14:paraId="12F5A34B" w14:textId="77777777" w:rsidR="008D5087" w:rsidRDefault="008D5087" w:rsidP="005F5C1E">
            <w:pPr>
              <w:spacing w:after="0" w:line="240" w:lineRule="auto"/>
              <w:jc w:val="both"/>
              <w:rPr>
                <w:rFonts w:cs="Calibri"/>
                <w:lang w:val="nl-BE"/>
              </w:rPr>
            </w:pPr>
            <w:r w:rsidRPr="00286652">
              <w:rPr>
                <w:rFonts w:cs="Calibri"/>
                <w:lang w:val="nl-BE"/>
              </w:rPr>
              <w:t xml:space="preserve">  </w:t>
            </w:r>
          </w:p>
          <w:p w14:paraId="74863F9F" w14:textId="77777777" w:rsidR="008D5087" w:rsidRDefault="008D5087" w:rsidP="005F5C1E">
            <w:pPr>
              <w:spacing w:after="0" w:line="240" w:lineRule="auto"/>
              <w:jc w:val="both"/>
              <w:rPr>
                <w:rFonts w:cs="Calibri"/>
                <w:lang w:val="nl-BE"/>
              </w:rPr>
            </w:pPr>
            <w:r w:rsidRPr="00286652">
              <w:rPr>
                <w:rFonts w:cs="Calibri"/>
                <w:lang w:val="nl-BE"/>
              </w:rPr>
              <w:t>De opbrengsten en kosten van welbepaalde activa en passiva worden vanaf de in artikel 12:75, tweede lid, 5°, bedoelde datum toegerekend aan de vennootschap waaraan die activa en passiva werden toeb</w:t>
            </w:r>
            <w:r>
              <w:rPr>
                <w:rFonts w:cs="Calibri"/>
                <w:lang w:val="nl-BE"/>
              </w:rPr>
              <w:t>edee</w:t>
            </w:r>
            <w:r w:rsidRPr="00286652">
              <w:rPr>
                <w:rFonts w:cs="Calibri"/>
                <w:lang w:val="nl-BE"/>
              </w:rPr>
              <w:t>ld.</w:t>
            </w:r>
          </w:p>
        </w:tc>
        <w:tc>
          <w:tcPr>
            <w:tcW w:w="5812" w:type="dxa"/>
            <w:shd w:val="clear" w:color="auto" w:fill="auto"/>
          </w:tcPr>
          <w:p w14:paraId="6E00F507" w14:textId="77777777" w:rsidR="00796D5F" w:rsidRPr="00286652" w:rsidRDefault="00796D5F" w:rsidP="00796D5F">
            <w:pPr>
              <w:spacing w:after="0" w:line="240" w:lineRule="auto"/>
              <w:jc w:val="both"/>
              <w:rPr>
                <w:rFonts w:cs="Calibri"/>
                <w:lang w:val="fr-FR"/>
              </w:rPr>
            </w:pPr>
            <w:r>
              <w:rPr>
                <w:rFonts w:cs="Calibri"/>
                <w:lang w:val="fr-FR"/>
              </w:rPr>
              <w:t xml:space="preserve">Art. 12:76. </w:t>
            </w:r>
            <w:r w:rsidRPr="00286652">
              <w:rPr>
                <w:rFonts w:cs="Calibri"/>
                <w:lang w:val="fr-FR"/>
              </w:rPr>
              <w:t>Lorsqu'un élément du patrimoine actif n'est pas attribué dans le projet de scission et que l'interprétation du projet ne permet pas de décider de la répartition de cet élément, celui-ci ou sa contrevaleur est réparti entre toutes les nouvelles sociétés de manière proportionnelle à l'actif net attribué à chacune de celles-ci dans le projet de scission.</w:t>
            </w:r>
          </w:p>
          <w:p w14:paraId="35C50F3F" w14:textId="77777777" w:rsidR="00796D5F" w:rsidRDefault="00796D5F" w:rsidP="00796D5F">
            <w:pPr>
              <w:spacing w:after="0" w:line="240" w:lineRule="auto"/>
              <w:jc w:val="both"/>
              <w:rPr>
                <w:rFonts w:cs="Calibri"/>
                <w:lang w:val="fr-FR"/>
              </w:rPr>
            </w:pPr>
            <w:r w:rsidRPr="00286652">
              <w:rPr>
                <w:rFonts w:cs="Calibri"/>
                <w:lang w:val="fr-FR"/>
              </w:rPr>
              <w:t xml:space="preserve">  </w:t>
            </w:r>
          </w:p>
          <w:p w14:paraId="63E6A78C" w14:textId="77777777" w:rsidR="00796D5F" w:rsidRPr="00286652" w:rsidRDefault="00796D5F" w:rsidP="00796D5F">
            <w:pPr>
              <w:spacing w:after="0" w:line="240" w:lineRule="auto"/>
              <w:jc w:val="both"/>
              <w:rPr>
                <w:rFonts w:cs="Calibri"/>
                <w:lang w:val="fr-FR"/>
              </w:rPr>
            </w:pPr>
            <w:r w:rsidRPr="00286652">
              <w:rPr>
                <w:rFonts w:cs="Calibri"/>
                <w:lang w:val="fr-FR"/>
              </w:rPr>
              <w:t>Lorsqu'un élément du patrimoine passif n'est pas attribué dans le projet de scission et que l'interprétation du projet ne permet pas de décider de la répartition de cet élément, chacune des nouvelles sociétés en est solidairement responsable.</w:t>
            </w:r>
          </w:p>
          <w:p w14:paraId="22B68086" w14:textId="77777777" w:rsidR="00796D5F" w:rsidRDefault="00796D5F" w:rsidP="00796D5F">
            <w:pPr>
              <w:spacing w:after="0" w:line="240" w:lineRule="auto"/>
              <w:jc w:val="both"/>
              <w:rPr>
                <w:rFonts w:cs="Calibri"/>
                <w:lang w:val="fr-FR"/>
              </w:rPr>
            </w:pPr>
            <w:r w:rsidRPr="00286652">
              <w:rPr>
                <w:rFonts w:cs="Calibri"/>
                <w:lang w:val="fr-FR"/>
              </w:rPr>
              <w:t xml:space="preserve">  </w:t>
            </w:r>
          </w:p>
          <w:p w14:paraId="763246B4" w14:textId="55F98437" w:rsidR="008D5087" w:rsidRPr="00796D5F" w:rsidRDefault="00796D5F" w:rsidP="00796D5F">
            <w:pPr>
              <w:jc w:val="both"/>
              <w:rPr>
                <w:lang w:val="fr-FR"/>
              </w:rPr>
            </w:pPr>
            <w:r>
              <w:rPr>
                <w:rFonts w:cs="Calibri"/>
                <w:lang w:val="fr-FR"/>
              </w:rPr>
              <w:t>À compter de la date visée à l'</w:t>
            </w:r>
            <w:r w:rsidRPr="00286652">
              <w:rPr>
                <w:rFonts w:cs="Calibri"/>
                <w:lang w:val="fr-FR"/>
              </w:rPr>
              <w:t>article 12:75, alinéa 2</w:t>
            </w:r>
            <w:r>
              <w:rPr>
                <w:rFonts w:cs="Calibri"/>
                <w:lang w:val="fr-FR"/>
              </w:rPr>
              <w:t xml:space="preserve">, 5°, les produits et charges </w:t>
            </w:r>
            <w:del w:id="0" w:author="Microsoft Office-gebruiker" w:date="2022-01-24T12:18:00Z">
              <w:r w:rsidRPr="00D3218C">
                <w:rPr>
                  <w:rFonts w:cs="Calibri"/>
                  <w:lang w:val="fr-FR"/>
                </w:rPr>
                <w:delText>de certains actifs</w:delText>
              </w:r>
            </w:del>
            <w:ins w:id="1" w:author="Microsoft Office-gebruiker" w:date="2022-01-24T12:18:00Z">
              <w:r>
                <w:rPr>
                  <w:rFonts w:cs="Calibri"/>
                  <w:lang w:val="fr-FR"/>
                </w:rPr>
                <w:t>d'</w:t>
              </w:r>
              <w:r w:rsidRPr="00286652">
                <w:rPr>
                  <w:rFonts w:cs="Calibri"/>
                  <w:lang w:val="fr-FR"/>
                </w:rPr>
                <w:t>actifs</w:t>
              </w:r>
            </w:ins>
            <w:r w:rsidRPr="00286652">
              <w:rPr>
                <w:rFonts w:cs="Calibri"/>
                <w:lang w:val="fr-FR"/>
              </w:rPr>
              <w:t xml:space="preserve"> et </w:t>
            </w:r>
            <w:ins w:id="2" w:author="Microsoft Office-gebruiker" w:date="2022-01-24T12:18:00Z">
              <w:r w:rsidRPr="00286652">
                <w:rPr>
                  <w:rFonts w:cs="Calibri"/>
                  <w:lang w:val="fr-FR"/>
                </w:rPr>
                <w:t xml:space="preserve">de </w:t>
              </w:r>
            </w:ins>
            <w:r w:rsidRPr="00286652">
              <w:rPr>
                <w:rFonts w:cs="Calibri"/>
                <w:lang w:val="fr-FR"/>
              </w:rPr>
              <w:t xml:space="preserve">passifs </w:t>
            </w:r>
            <w:ins w:id="3" w:author="Microsoft Office-gebruiker" w:date="2022-01-24T12:18:00Z">
              <w:r w:rsidRPr="00286652">
                <w:rPr>
                  <w:rFonts w:cs="Calibri"/>
                  <w:lang w:val="fr-FR"/>
                </w:rPr>
                <w:t xml:space="preserve">déterminés </w:t>
              </w:r>
            </w:ins>
            <w:r w:rsidRPr="00286652">
              <w:rPr>
                <w:rFonts w:cs="Calibri"/>
                <w:lang w:val="fr-FR"/>
              </w:rPr>
              <w:t>sont imputés à la société à laquelle ces actifs et passifs ont été attribués.</w:t>
            </w:r>
            <w:bookmarkStart w:id="4" w:name="_GoBack"/>
            <w:bookmarkEnd w:id="4"/>
          </w:p>
        </w:tc>
      </w:tr>
      <w:tr w:rsidR="008D5087" w:rsidRPr="00AB337C" w14:paraId="65015684" w14:textId="77777777" w:rsidTr="008D5087">
        <w:trPr>
          <w:trHeight w:val="605"/>
        </w:trPr>
        <w:tc>
          <w:tcPr>
            <w:tcW w:w="2122" w:type="dxa"/>
          </w:tcPr>
          <w:p w14:paraId="0BE8AE01" w14:textId="77777777" w:rsidR="008D5087" w:rsidRPr="00AB337C" w:rsidRDefault="008D5087" w:rsidP="00AB337C">
            <w:pPr>
              <w:spacing w:after="0" w:line="240" w:lineRule="auto"/>
              <w:jc w:val="both"/>
              <w:rPr>
                <w:rFonts w:cs="Calibri"/>
                <w:lang w:val="fr-FR"/>
              </w:rPr>
            </w:pPr>
            <w:r>
              <w:rPr>
                <w:rFonts w:cs="Calibri"/>
                <w:lang w:val="fr-FR"/>
              </w:rPr>
              <w:t>Voorontwerp</w:t>
            </w:r>
          </w:p>
        </w:tc>
        <w:tc>
          <w:tcPr>
            <w:tcW w:w="5811" w:type="dxa"/>
            <w:shd w:val="clear" w:color="auto" w:fill="auto"/>
          </w:tcPr>
          <w:p w14:paraId="78680161" w14:textId="77777777" w:rsidR="008D5087" w:rsidRPr="00D3218C" w:rsidRDefault="008D5087" w:rsidP="00AB337C">
            <w:pPr>
              <w:spacing w:after="0" w:line="240" w:lineRule="auto"/>
              <w:jc w:val="both"/>
              <w:rPr>
                <w:rFonts w:cs="Calibri"/>
                <w:lang w:val="nl-BE"/>
              </w:rPr>
            </w:pPr>
            <w:r>
              <w:rPr>
                <w:rFonts w:cs="Calibri"/>
                <w:lang w:val="nl-BE"/>
              </w:rPr>
              <w:t xml:space="preserve">Art. 12:76. </w:t>
            </w:r>
            <w:r w:rsidRPr="00D3218C">
              <w:rPr>
                <w:rFonts w:cs="Calibri"/>
                <w:lang w:val="nl-BE"/>
              </w:rPr>
              <w:t>Wanneer een gedeelte van de activa van het vermogen niet in het splitsingsvoorstel wordt toebedeeld en interpretatie van dit voorstel geen uitsluitsel geeft over de verdeling ervan, wordt dit gedeelte of de waarde ervan verdeeld over alle nieuwe vennootschappen, evenredig aan het nettoactief dat aan ieder van hen in het splitsingsvoorstel is toebedeeld.</w:t>
            </w:r>
          </w:p>
          <w:p w14:paraId="4909CCBB" w14:textId="77777777" w:rsidR="008D5087" w:rsidRDefault="008D5087" w:rsidP="00AB337C">
            <w:pPr>
              <w:spacing w:after="0" w:line="240" w:lineRule="auto"/>
              <w:jc w:val="both"/>
              <w:rPr>
                <w:rFonts w:cs="Calibri"/>
                <w:lang w:val="nl-BE"/>
              </w:rPr>
            </w:pPr>
            <w:r w:rsidRPr="00D3218C">
              <w:rPr>
                <w:rFonts w:cs="Calibri"/>
                <w:lang w:val="nl-BE"/>
              </w:rPr>
              <w:t xml:space="preserve">  </w:t>
            </w:r>
          </w:p>
          <w:p w14:paraId="17FFFF39" w14:textId="77777777" w:rsidR="008D5087" w:rsidRPr="00D3218C" w:rsidRDefault="008D5087" w:rsidP="00AB337C">
            <w:pPr>
              <w:spacing w:after="0" w:line="240" w:lineRule="auto"/>
              <w:jc w:val="both"/>
              <w:rPr>
                <w:rFonts w:cs="Calibri"/>
                <w:lang w:val="nl-BE"/>
              </w:rPr>
            </w:pPr>
            <w:r w:rsidRPr="00D3218C">
              <w:rPr>
                <w:rFonts w:cs="Calibri"/>
                <w:lang w:val="nl-BE"/>
              </w:rPr>
              <w:t>Wanneer een gedeelte van de passiva van het vermogen niet in het splitsingsvoorstel wordt toebedeeld en interpretatie van dit voorstel geen uitsluitsel geeft over de verdeling ervan, zijn alle nieuwe vennootschappen daarvoor hoofdelijk aansprakelijk.</w:t>
            </w:r>
          </w:p>
          <w:p w14:paraId="52EEE6A7" w14:textId="77777777" w:rsidR="008D5087" w:rsidRDefault="008D5087" w:rsidP="00AB337C">
            <w:pPr>
              <w:spacing w:after="0" w:line="240" w:lineRule="auto"/>
              <w:jc w:val="both"/>
              <w:rPr>
                <w:rFonts w:cs="Calibri"/>
                <w:lang w:val="nl-BE"/>
              </w:rPr>
            </w:pPr>
            <w:r w:rsidRPr="00D3218C">
              <w:rPr>
                <w:rFonts w:cs="Calibri"/>
                <w:lang w:val="nl-BE"/>
              </w:rPr>
              <w:t xml:space="preserve">  </w:t>
            </w:r>
          </w:p>
          <w:p w14:paraId="3213704E" w14:textId="77777777" w:rsidR="008D5087" w:rsidRPr="00D3218C" w:rsidRDefault="008D5087" w:rsidP="00AB337C">
            <w:pPr>
              <w:spacing w:after="0" w:line="240" w:lineRule="auto"/>
              <w:jc w:val="both"/>
              <w:rPr>
                <w:rFonts w:cs="Calibri"/>
                <w:lang w:val="nl-BE"/>
              </w:rPr>
            </w:pPr>
            <w:r w:rsidRPr="00D3218C">
              <w:rPr>
                <w:rFonts w:cs="Calibri"/>
                <w:lang w:val="nl-BE"/>
              </w:rPr>
              <w:t xml:space="preserve">De opbrengsten en kosten van welbepaalde activa en passiva worden vanaf de in artikel 12:75, tweede lid, 5°, bedoelde </w:t>
            </w:r>
            <w:r w:rsidRPr="00D3218C">
              <w:rPr>
                <w:rFonts w:cs="Calibri"/>
                <w:lang w:val="nl-BE"/>
              </w:rPr>
              <w:lastRenderedPageBreak/>
              <w:t>datum toegerekend aan de vennootschap waaraan die activa en passiva werden toebedeeld.</w:t>
            </w:r>
          </w:p>
        </w:tc>
        <w:tc>
          <w:tcPr>
            <w:tcW w:w="5812" w:type="dxa"/>
            <w:shd w:val="clear" w:color="auto" w:fill="auto"/>
          </w:tcPr>
          <w:p w14:paraId="2EC83FCC" w14:textId="77777777" w:rsidR="008D5087" w:rsidRPr="00D3218C" w:rsidRDefault="008D5087" w:rsidP="00AB337C">
            <w:pPr>
              <w:spacing w:after="0" w:line="240" w:lineRule="auto"/>
              <w:jc w:val="both"/>
              <w:rPr>
                <w:rFonts w:cs="Calibri"/>
                <w:lang w:val="fr-FR"/>
              </w:rPr>
            </w:pPr>
            <w:r>
              <w:rPr>
                <w:rFonts w:cs="Calibri"/>
                <w:lang w:val="fr-FR"/>
              </w:rPr>
              <w:lastRenderedPageBreak/>
              <w:t xml:space="preserve">Art. 12:76. </w:t>
            </w:r>
            <w:r w:rsidRPr="00D3218C">
              <w:rPr>
                <w:rFonts w:cs="Calibri"/>
                <w:lang w:val="fr-FR"/>
              </w:rPr>
              <w:t>Lorsqu'un élément du patrimoine actif n'est pas attribué dans le projet de scission et que l'interprétation du projet ne permet pas de décider de la répartition de cet élément, celui-ci ou sa contrevaleur est réparti entre toutes les nouvelles sociétés de manière proportionnelle à l'actif net attribué à chacune de celles-ci dans le projet de scission.</w:t>
            </w:r>
          </w:p>
          <w:p w14:paraId="53443852" w14:textId="77777777" w:rsidR="008D5087" w:rsidRDefault="008D5087" w:rsidP="00AB337C">
            <w:pPr>
              <w:spacing w:after="0" w:line="240" w:lineRule="auto"/>
              <w:jc w:val="both"/>
              <w:rPr>
                <w:rFonts w:cs="Calibri"/>
                <w:lang w:val="fr-FR"/>
              </w:rPr>
            </w:pPr>
            <w:r w:rsidRPr="00D3218C">
              <w:rPr>
                <w:rFonts w:cs="Calibri"/>
                <w:lang w:val="fr-FR"/>
              </w:rPr>
              <w:t xml:space="preserve">  </w:t>
            </w:r>
          </w:p>
          <w:p w14:paraId="7B317901" w14:textId="77777777" w:rsidR="008D5087" w:rsidRPr="00D3218C" w:rsidRDefault="008D5087" w:rsidP="00AB337C">
            <w:pPr>
              <w:spacing w:after="0" w:line="240" w:lineRule="auto"/>
              <w:jc w:val="both"/>
              <w:rPr>
                <w:rFonts w:cs="Calibri"/>
                <w:lang w:val="fr-FR"/>
              </w:rPr>
            </w:pPr>
            <w:r w:rsidRPr="00D3218C">
              <w:rPr>
                <w:rFonts w:cs="Calibri"/>
                <w:lang w:val="fr-FR"/>
              </w:rPr>
              <w:t>Lorsqu'un élément du patrimoine passif n'est pas attribué dans le projet de scission et que l'interprétation du projet ne permet pas de décider de la répartition de cet élément, chacune des nouvelles sociétés en est solidairement responsable.</w:t>
            </w:r>
          </w:p>
          <w:p w14:paraId="33FC05B0" w14:textId="77777777" w:rsidR="008D5087" w:rsidRDefault="008D5087" w:rsidP="00AB337C">
            <w:pPr>
              <w:spacing w:after="0" w:line="240" w:lineRule="auto"/>
              <w:jc w:val="both"/>
              <w:rPr>
                <w:rFonts w:cs="Calibri"/>
                <w:lang w:val="fr-FR"/>
              </w:rPr>
            </w:pPr>
            <w:r w:rsidRPr="00D3218C">
              <w:rPr>
                <w:rFonts w:cs="Calibri"/>
                <w:lang w:val="fr-FR"/>
              </w:rPr>
              <w:t xml:space="preserve">  </w:t>
            </w:r>
          </w:p>
          <w:p w14:paraId="6673012F" w14:textId="762035EF" w:rsidR="008D5087" w:rsidRPr="00D3218C" w:rsidRDefault="00087151" w:rsidP="00AB337C">
            <w:pPr>
              <w:spacing w:after="0" w:line="240" w:lineRule="auto"/>
              <w:jc w:val="both"/>
              <w:rPr>
                <w:rFonts w:cs="Calibri"/>
                <w:lang w:val="fr-FR"/>
              </w:rPr>
            </w:pPr>
            <w:r>
              <w:rPr>
                <w:rFonts w:cs="Calibri"/>
                <w:lang w:val="fr-FR"/>
              </w:rPr>
              <w:t>À compter de la date visée à l'</w:t>
            </w:r>
            <w:r w:rsidR="008D5087" w:rsidRPr="00D3218C">
              <w:rPr>
                <w:rFonts w:cs="Calibri"/>
                <w:lang w:val="fr-FR"/>
              </w:rPr>
              <w:t>article 12:75, alinéa 2, 5°, les produits et charges de certains actifs et passifs sont imputés à la société à laquelle ces actifs et passifs ont été attribués.</w:t>
            </w:r>
          </w:p>
        </w:tc>
      </w:tr>
      <w:tr w:rsidR="008D5087" w:rsidRPr="008D5087" w14:paraId="7278425C" w14:textId="77777777" w:rsidTr="00AB337C">
        <w:trPr>
          <w:trHeight w:val="699"/>
        </w:trPr>
        <w:tc>
          <w:tcPr>
            <w:tcW w:w="2122" w:type="dxa"/>
          </w:tcPr>
          <w:p w14:paraId="7F60FC1D" w14:textId="77777777" w:rsidR="008D5087" w:rsidRDefault="008D5087" w:rsidP="00AB337C">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6B4CF88" w14:textId="77777777" w:rsidR="008D5087" w:rsidRPr="00ED28F6" w:rsidRDefault="008D5087" w:rsidP="00AB337C">
            <w:pPr>
              <w:spacing w:after="0" w:line="240" w:lineRule="auto"/>
              <w:jc w:val="both"/>
              <w:rPr>
                <w:rFonts w:cs="Calibri"/>
                <w:lang w:val="nl-BE"/>
              </w:rPr>
            </w:pPr>
            <w:r w:rsidRPr="00ED28F6">
              <w:rPr>
                <w:rFonts w:cs="Calibri"/>
                <w:lang w:val="nl-BE"/>
              </w:rPr>
              <w:t>Artikelen 12:74 – 12:90.</w:t>
            </w:r>
          </w:p>
          <w:p w14:paraId="218A7CEF" w14:textId="77777777" w:rsidR="008D5087" w:rsidRPr="00ED28F6" w:rsidRDefault="008D5087" w:rsidP="00AB337C">
            <w:pPr>
              <w:spacing w:after="0" w:line="240" w:lineRule="auto"/>
              <w:jc w:val="both"/>
              <w:rPr>
                <w:rFonts w:cs="Calibri"/>
                <w:lang w:val="nl-BE"/>
              </w:rPr>
            </w:pPr>
            <w:r w:rsidRPr="00ED28F6">
              <w:rPr>
                <w:rFonts w:cs="Calibri"/>
                <w:lang w:val="nl-BE"/>
              </w:rPr>
              <w:t>Deze bepalingen hernemen de artikelen 742-757 W.Venn., met volgende verduidelijkingen, wijzigingen en toevoegingen.</w:t>
            </w:r>
          </w:p>
          <w:p w14:paraId="58E79F36" w14:textId="77777777" w:rsidR="008D5087" w:rsidRPr="00ED28F6" w:rsidRDefault="008D5087" w:rsidP="00AB337C">
            <w:pPr>
              <w:spacing w:after="0" w:line="240" w:lineRule="auto"/>
              <w:jc w:val="both"/>
              <w:rPr>
                <w:rFonts w:cs="Calibri"/>
                <w:lang w:val="nl-BE"/>
              </w:rPr>
            </w:pPr>
          </w:p>
          <w:p w14:paraId="48D3B1E9" w14:textId="77777777" w:rsidR="008D5087" w:rsidRPr="00286652" w:rsidRDefault="008D5087" w:rsidP="00AB337C">
            <w:pPr>
              <w:spacing w:after="0" w:line="240" w:lineRule="auto"/>
              <w:jc w:val="both"/>
              <w:rPr>
                <w:rFonts w:cs="Calibri"/>
                <w:lang w:val="nl-BE"/>
              </w:rPr>
            </w:pPr>
            <w:r w:rsidRPr="00ED28F6">
              <w:rPr>
                <w:rFonts w:cs="Calibri"/>
                <w:lang w:val="nl-BE"/>
              </w:rPr>
              <w:t>In artikel 12:76 wordt verduidelijkt dat alle opbrengsten en kosten verbonden aan de overgedragen activa en passiva vanaf de datum van boekhoudkundige retroactiviteit die wordt vermeld in artikel 12:75, tweede lid, 5° eveneens worden toebedeeld aan de vennootschappen waaraan die activa en passiva worden toebedeeld. Indien de partijen willen af wijken van dit uitgangspunten, zullen zij hiermee dienen rekening te houden bij de bepaling van de wa</w:t>
            </w:r>
            <w:r>
              <w:rPr>
                <w:rFonts w:cs="Calibri"/>
                <w:lang w:val="nl-BE"/>
              </w:rPr>
              <w:t>ardering en de ruilverhouding.</w:t>
            </w:r>
          </w:p>
        </w:tc>
        <w:tc>
          <w:tcPr>
            <w:tcW w:w="5812" w:type="dxa"/>
            <w:shd w:val="clear" w:color="auto" w:fill="auto"/>
          </w:tcPr>
          <w:p w14:paraId="7C5D0292" w14:textId="77777777" w:rsidR="008D5087" w:rsidRPr="00ED28F6" w:rsidRDefault="008D5087" w:rsidP="00AB337C">
            <w:pPr>
              <w:spacing w:after="0" w:line="240" w:lineRule="auto"/>
              <w:jc w:val="both"/>
              <w:rPr>
                <w:rFonts w:cs="Calibri"/>
                <w:lang w:val="fr-FR"/>
              </w:rPr>
            </w:pPr>
            <w:r w:rsidRPr="00ED28F6">
              <w:rPr>
                <w:rFonts w:cs="Calibri"/>
                <w:lang w:val="fr-FR"/>
              </w:rPr>
              <w:t>Articles 12:74 – 12:90.</w:t>
            </w:r>
          </w:p>
          <w:p w14:paraId="17388D75" w14:textId="77777777" w:rsidR="008D5087" w:rsidRPr="00ED28F6" w:rsidRDefault="008D5087" w:rsidP="00AB337C">
            <w:pPr>
              <w:spacing w:after="0" w:line="240" w:lineRule="auto"/>
              <w:jc w:val="both"/>
              <w:rPr>
                <w:rFonts w:cs="Calibri"/>
                <w:lang w:val="fr-FR"/>
              </w:rPr>
            </w:pPr>
            <w:r w:rsidRPr="00ED28F6">
              <w:rPr>
                <w:rFonts w:cs="Calibri"/>
                <w:lang w:val="fr-FR"/>
              </w:rPr>
              <w:t>Ces dispositions reprennent les articles 742 à 757 C. soc., moyennant les précisions, modifications et ajouts suivants.</w:t>
            </w:r>
          </w:p>
          <w:p w14:paraId="6F978310" w14:textId="77777777" w:rsidR="008D5087" w:rsidRPr="00ED28F6" w:rsidRDefault="008D5087" w:rsidP="00AB337C">
            <w:pPr>
              <w:spacing w:after="0" w:line="240" w:lineRule="auto"/>
              <w:jc w:val="both"/>
              <w:rPr>
                <w:rFonts w:cs="Calibri"/>
                <w:lang w:val="fr-FR"/>
              </w:rPr>
            </w:pPr>
          </w:p>
          <w:p w14:paraId="228BFA8B" w14:textId="77777777" w:rsidR="008D5087" w:rsidRPr="00ED28F6" w:rsidRDefault="008D5087" w:rsidP="00AB337C">
            <w:pPr>
              <w:spacing w:after="0" w:line="240" w:lineRule="auto"/>
              <w:jc w:val="both"/>
              <w:rPr>
                <w:rFonts w:cs="Calibri"/>
                <w:lang w:val="fr-FR"/>
              </w:rPr>
            </w:pPr>
            <w:r w:rsidRPr="00ED28F6">
              <w:rPr>
                <w:rFonts w:cs="Calibri"/>
                <w:lang w:val="fr-FR"/>
              </w:rPr>
              <w:t>Il est précisé à l'article 12:76 que tous les produits et charges liés aux actifs et passifs transférés à partir de la date de la rétroactivité comptable de la scission mentionnée à l'article 12:75, alinéa 2, 5°, sont également attribués aux sociétés bénéficiaires de ces actifs et passifs. Si les parties souhaitent déroger à ce principe, elles devront en tenir compte pour la détermination de l’évaluation et du rapport d'échange.</w:t>
            </w:r>
          </w:p>
          <w:p w14:paraId="6F17788A" w14:textId="77777777" w:rsidR="008D5087" w:rsidRPr="00ED28F6" w:rsidRDefault="008D5087" w:rsidP="00AB337C">
            <w:pPr>
              <w:spacing w:after="0" w:line="240" w:lineRule="auto"/>
              <w:jc w:val="both"/>
              <w:rPr>
                <w:rFonts w:cs="Calibri"/>
                <w:lang w:val="fr-FR"/>
              </w:rPr>
            </w:pPr>
          </w:p>
        </w:tc>
      </w:tr>
      <w:tr w:rsidR="008D5087" w:rsidRPr="00ED28F6" w14:paraId="1424C8A7" w14:textId="77777777" w:rsidTr="00AB337C">
        <w:trPr>
          <w:trHeight w:val="323"/>
        </w:trPr>
        <w:tc>
          <w:tcPr>
            <w:tcW w:w="2122" w:type="dxa"/>
          </w:tcPr>
          <w:p w14:paraId="0A96C9EC" w14:textId="77777777" w:rsidR="008D5087" w:rsidRDefault="008D5087" w:rsidP="00AB337C">
            <w:pPr>
              <w:spacing w:after="0" w:line="240" w:lineRule="auto"/>
              <w:jc w:val="both"/>
              <w:rPr>
                <w:rFonts w:cs="Calibri"/>
                <w:lang w:val="fr-FR"/>
              </w:rPr>
            </w:pPr>
            <w:r>
              <w:rPr>
                <w:rFonts w:cs="Calibri"/>
                <w:lang w:val="fr-FR"/>
              </w:rPr>
              <w:t>RvSt</w:t>
            </w:r>
          </w:p>
        </w:tc>
        <w:tc>
          <w:tcPr>
            <w:tcW w:w="5811" w:type="dxa"/>
            <w:shd w:val="clear" w:color="auto" w:fill="auto"/>
          </w:tcPr>
          <w:p w14:paraId="55CD1802" w14:textId="77777777" w:rsidR="008D5087" w:rsidRPr="00ED28F6" w:rsidRDefault="008D5087" w:rsidP="00AB337C">
            <w:pPr>
              <w:spacing w:after="0" w:line="240" w:lineRule="auto"/>
              <w:jc w:val="both"/>
              <w:rPr>
                <w:rFonts w:cs="Calibri"/>
                <w:lang w:val="nl-BE"/>
              </w:rPr>
            </w:pPr>
            <w:r>
              <w:rPr>
                <w:rFonts w:cs="Calibri"/>
                <w:lang w:val="nl-BE"/>
              </w:rPr>
              <w:t>Geen opmerkingen.</w:t>
            </w:r>
          </w:p>
        </w:tc>
        <w:tc>
          <w:tcPr>
            <w:tcW w:w="5812" w:type="dxa"/>
            <w:shd w:val="clear" w:color="auto" w:fill="auto"/>
          </w:tcPr>
          <w:p w14:paraId="381EE430" w14:textId="77777777" w:rsidR="008D5087" w:rsidRPr="00ED28F6" w:rsidRDefault="008D5087" w:rsidP="00AB337C">
            <w:pPr>
              <w:spacing w:after="0" w:line="240" w:lineRule="auto"/>
              <w:jc w:val="both"/>
              <w:rPr>
                <w:rFonts w:cs="Calibri"/>
                <w:lang w:val="fr-FR"/>
              </w:rPr>
            </w:pPr>
            <w:r>
              <w:rPr>
                <w:rFonts w:cs="Calibri"/>
                <w:lang w:val="fr-FR"/>
              </w:rPr>
              <w:t>Pas de remarques.</w:t>
            </w:r>
          </w:p>
        </w:tc>
      </w:tr>
    </w:tbl>
    <w:p w14:paraId="62325F85" w14:textId="77777777" w:rsidR="001203BA" w:rsidRPr="00ED28F6" w:rsidRDefault="001203BA" w:rsidP="001203BA">
      <w:pPr>
        <w:rPr>
          <w:lang w:val="fr-FR"/>
        </w:rPr>
      </w:pPr>
    </w:p>
    <w:p w14:paraId="41875BA4" w14:textId="77777777" w:rsidR="00A820D7" w:rsidRPr="00ED28F6" w:rsidRDefault="00A820D7">
      <w:pPr>
        <w:rPr>
          <w:lang w:val="fr-FR"/>
        </w:rPr>
      </w:pPr>
    </w:p>
    <w:sectPr w:rsidR="00A820D7" w:rsidRPr="00ED28F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87151"/>
    <w:rsid w:val="000B17B4"/>
    <w:rsid w:val="000E14C5"/>
    <w:rsid w:val="00102D66"/>
    <w:rsid w:val="00104701"/>
    <w:rsid w:val="0011776E"/>
    <w:rsid w:val="001203BA"/>
    <w:rsid w:val="001274D6"/>
    <w:rsid w:val="00155DAF"/>
    <w:rsid w:val="00160A1B"/>
    <w:rsid w:val="00181A11"/>
    <w:rsid w:val="00191BAC"/>
    <w:rsid w:val="00193578"/>
    <w:rsid w:val="00214ADA"/>
    <w:rsid w:val="002337A0"/>
    <w:rsid w:val="00262FAA"/>
    <w:rsid w:val="0026584A"/>
    <w:rsid w:val="00274C37"/>
    <w:rsid w:val="00286652"/>
    <w:rsid w:val="0029665A"/>
    <w:rsid w:val="00297FF6"/>
    <w:rsid w:val="002A5831"/>
    <w:rsid w:val="002B3F2F"/>
    <w:rsid w:val="002F7950"/>
    <w:rsid w:val="00300B84"/>
    <w:rsid w:val="00357D30"/>
    <w:rsid w:val="00367502"/>
    <w:rsid w:val="003831C0"/>
    <w:rsid w:val="003A1C6D"/>
    <w:rsid w:val="003A3D34"/>
    <w:rsid w:val="003A7991"/>
    <w:rsid w:val="003F24EE"/>
    <w:rsid w:val="00415C03"/>
    <w:rsid w:val="00423115"/>
    <w:rsid w:val="00441E30"/>
    <w:rsid w:val="0047203B"/>
    <w:rsid w:val="004A39E3"/>
    <w:rsid w:val="004C3052"/>
    <w:rsid w:val="004C63AD"/>
    <w:rsid w:val="00525185"/>
    <w:rsid w:val="00562DB1"/>
    <w:rsid w:val="005A3C17"/>
    <w:rsid w:val="005B25E3"/>
    <w:rsid w:val="005C7CE3"/>
    <w:rsid w:val="00645D75"/>
    <w:rsid w:val="00650083"/>
    <w:rsid w:val="006A735D"/>
    <w:rsid w:val="00710A28"/>
    <w:rsid w:val="00710C81"/>
    <w:rsid w:val="00736D86"/>
    <w:rsid w:val="007463B2"/>
    <w:rsid w:val="007532BF"/>
    <w:rsid w:val="00796D5F"/>
    <w:rsid w:val="007B581C"/>
    <w:rsid w:val="007D7A6B"/>
    <w:rsid w:val="00817848"/>
    <w:rsid w:val="00871F22"/>
    <w:rsid w:val="00887B0C"/>
    <w:rsid w:val="008B2189"/>
    <w:rsid w:val="008D5087"/>
    <w:rsid w:val="008D71F7"/>
    <w:rsid w:val="008E164C"/>
    <w:rsid w:val="009172D4"/>
    <w:rsid w:val="00931894"/>
    <w:rsid w:val="00935E60"/>
    <w:rsid w:val="00943313"/>
    <w:rsid w:val="009627E9"/>
    <w:rsid w:val="009A4260"/>
    <w:rsid w:val="009D0B3E"/>
    <w:rsid w:val="009F648C"/>
    <w:rsid w:val="009F7906"/>
    <w:rsid w:val="00A0074A"/>
    <w:rsid w:val="00A03135"/>
    <w:rsid w:val="00A152BE"/>
    <w:rsid w:val="00A72BBC"/>
    <w:rsid w:val="00A7675D"/>
    <w:rsid w:val="00A820D7"/>
    <w:rsid w:val="00AA0CC7"/>
    <w:rsid w:val="00AA1A7C"/>
    <w:rsid w:val="00AA5A92"/>
    <w:rsid w:val="00AB337C"/>
    <w:rsid w:val="00AC1B18"/>
    <w:rsid w:val="00AC1E91"/>
    <w:rsid w:val="00AC6758"/>
    <w:rsid w:val="00B41CE6"/>
    <w:rsid w:val="00B43558"/>
    <w:rsid w:val="00B50606"/>
    <w:rsid w:val="00B6333A"/>
    <w:rsid w:val="00B779CF"/>
    <w:rsid w:val="00B97CC3"/>
    <w:rsid w:val="00BA26D2"/>
    <w:rsid w:val="00BB376A"/>
    <w:rsid w:val="00BE2349"/>
    <w:rsid w:val="00BF1861"/>
    <w:rsid w:val="00C01CFA"/>
    <w:rsid w:val="00C162B3"/>
    <w:rsid w:val="00C80883"/>
    <w:rsid w:val="00C86467"/>
    <w:rsid w:val="00C86CC5"/>
    <w:rsid w:val="00C91A38"/>
    <w:rsid w:val="00CC6422"/>
    <w:rsid w:val="00D3218C"/>
    <w:rsid w:val="00D66D82"/>
    <w:rsid w:val="00D8405B"/>
    <w:rsid w:val="00D96002"/>
    <w:rsid w:val="00E15CFE"/>
    <w:rsid w:val="00E21F8D"/>
    <w:rsid w:val="00E26DE4"/>
    <w:rsid w:val="00E511E0"/>
    <w:rsid w:val="00EB4929"/>
    <w:rsid w:val="00ED28F6"/>
    <w:rsid w:val="00ED31D7"/>
    <w:rsid w:val="00ED3B78"/>
    <w:rsid w:val="00EE44AC"/>
    <w:rsid w:val="00F234EA"/>
    <w:rsid w:val="00F301AA"/>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FFB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796D5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96D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953</Words>
  <Characters>5247</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2019-11-04T10:31:00Z</dcterms:created>
  <dcterms:modified xsi:type="dcterms:W3CDTF">2022-01-24T11:18:00Z</dcterms:modified>
</cp:coreProperties>
</file>