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1203BA" w:rsidRPr="002A763A" w14:paraId="47CE6270" w14:textId="77777777" w:rsidTr="002B3F2F">
        <w:tc>
          <w:tcPr>
            <w:tcW w:w="2122" w:type="dxa"/>
          </w:tcPr>
          <w:p w14:paraId="7D500FFF" w14:textId="77777777" w:rsidR="001203BA" w:rsidRPr="00B07AC9" w:rsidRDefault="001203BA" w:rsidP="007D7A6B">
            <w:pPr>
              <w:rPr>
                <w:b/>
                <w:sz w:val="32"/>
                <w:szCs w:val="32"/>
                <w:lang w:val="nl-BE"/>
              </w:rPr>
            </w:pPr>
            <w:r w:rsidRPr="00B07AC9">
              <w:rPr>
                <w:b/>
                <w:sz w:val="32"/>
                <w:szCs w:val="32"/>
                <w:lang w:val="nl-BE"/>
              </w:rPr>
              <w:t xml:space="preserve">ARTIKEL </w:t>
            </w:r>
            <w:r w:rsidR="002B3F2F">
              <w:rPr>
                <w:b/>
                <w:sz w:val="32"/>
                <w:szCs w:val="32"/>
                <w:lang w:val="nl-BE"/>
              </w:rPr>
              <w:t>1</w:t>
            </w:r>
            <w:r w:rsidR="00104701">
              <w:rPr>
                <w:b/>
                <w:sz w:val="32"/>
                <w:szCs w:val="32"/>
                <w:lang w:val="nl-BE"/>
              </w:rPr>
              <w:t>2</w:t>
            </w:r>
            <w:r w:rsidR="00621861">
              <w:rPr>
                <w:b/>
                <w:sz w:val="32"/>
                <w:szCs w:val="32"/>
                <w:lang w:val="nl-BE"/>
              </w:rPr>
              <w:t>:85</w:t>
            </w:r>
          </w:p>
        </w:tc>
        <w:tc>
          <w:tcPr>
            <w:tcW w:w="11623" w:type="dxa"/>
            <w:gridSpan w:val="2"/>
            <w:shd w:val="clear" w:color="auto" w:fill="auto"/>
          </w:tcPr>
          <w:p w14:paraId="0382B109"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441E30" w14:paraId="5E538BDA" w14:textId="77777777" w:rsidTr="002B3F2F">
        <w:tc>
          <w:tcPr>
            <w:tcW w:w="2122" w:type="dxa"/>
          </w:tcPr>
          <w:p w14:paraId="53A3370E" w14:textId="77777777" w:rsidR="001203BA" w:rsidRPr="00B07AC9" w:rsidRDefault="001203BA" w:rsidP="007D7A6B">
            <w:pPr>
              <w:rPr>
                <w:b/>
                <w:sz w:val="32"/>
                <w:szCs w:val="32"/>
                <w:lang w:val="nl-BE"/>
              </w:rPr>
            </w:pPr>
          </w:p>
        </w:tc>
        <w:tc>
          <w:tcPr>
            <w:tcW w:w="11623" w:type="dxa"/>
            <w:gridSpan w:val="2"/>
            <w:shd w:val="clear" w:color="auto" w:fill="auto"/>
          </w:tcPr>
          <w:p w14:paraId="37840228" w14:textId="77777777" w:rsidR="001203BA" w:rsidRPr="00441E30" w:rsidRDefault="001203BA" w:rsidP="007D7A6B">
            <w:pPr>
              <w:rPr>
                <w:rFonts w:asciiTheme="majorHAnsi" w:eastAsiaTheme="majorEastAsia" w:hAnsiTheme="majorHAnsi" w:cstheme="majorBidi"/>
                <w:b/>
                <w:bCs/>
                <w:color w:val="2E74B5" w:themeColor="accent1" w:themeShade="BF"/>
                <w:sz w:val="32"/>
                <w:szCs w:val="28"/>
                <w:lang w:val="nl-BE"/>
              </w:rPr>
            </w:pPr>
          </w:p>
        </w:tc>
      </w:tr>
      <w:tr w:rsidR="00621861" w:rsidRPr="00EE44AC" w14:paraId="11097E19" w14:textId="77777777" w:rsidTr="00426C17">
        <w:trPr>
          <w:trHeight w:val="1937"/>
        </w:trPr>
        <w:tc>
          <w:tcPr>
            <w:tcW w:w="2122" w:type="dxa"/>
          </w:tcPr>
          <w:p w14:paraId="4629036F" w14:textId="0DB8A771" w:rsidR="00621861" w:rsidRDefault="00621861" w:rsidP="00621861">
            <w:pPr>
              <w:spacing w:after="0" w:line="240" w:lineRule="auto"/>
              <w:jc w:val="both"/>
              <w:rPr>
                <w:rFonts w:cs="Calibri"/>
                <w:lang w:val="nl-BE"/>
              </w:rPr>
            </w:pPr>
            <w:r w:rsidRPr="00D71F12">
              <w:rPr>
                <w:rFonts w:cs="Calibri"/>
                <w:lang w:val="nl-BE"/>
              </w:rPr>
              <w:t>WVV</w:t>
            </w:r>
          </w:p>
        </w:tc>
        <w:tc>
          <w:tcPr>
            <w:tcW w:w="5811" w:type="dxa"/>
            <w:shd w:val="clear" w:color="auto" w:fill="auto"/>
          </w:tcPr>
          <w:p w14:paraId="2E759FFA" w14:textId="77777777" w:rsidR="00621861" w:rsidRPr="00426C17" w:rsidRDefault="00621861" w:rsidP="00621861">
            <w:pPr>
              <w:spacing w:after="0" w:line="240" w:lineRule="auto"/>
              <w:jc w:val="both"/>
              <w:rPr>
                <w:rFonts w:cs="Calibri"/>
                <w:lang w:val="nl-NL"/>
              </w:rPr>
            </w:pPr>
            <w:r w:rsidRPr="00B36E3F">
              <w:rPr>
                <w:rFonts w:cs="Calibri"/>
                <w:bCs/>
                <w:iCs/>
                <w:lang w:val="nl-NL"/>
              </w:rPr>
              <w:t>Onmiddellijk na het besluit tot splitsing moeten het ontwerp van oprichtingsakte en de statuten van elke nieuwe vennootschap goedgekeurd worden door de algemene vergadering van de gesplitste vennootschap, en dit volgens dezelfde regels van aanwezigheid en meerderheid als diegene die voor een besluit tot splitsing zijn vereist. Bij gebrek daaraan blijft het besluit tot splitsing zonder gevolg.</w:t>
            </w:r>
          </w:p>
        </w:tc>
        <w:tc>
          <w:tcPr>
            <w:tcW w:w="5812" w:type="dxa"/>
            <w:shd w:val="clear" w:color="auto" w:fill="auto"/>
          </w:tcPr>
          <w:p w14:paraId="71870DD0" w14:textId="77777777" w:rsidR="00621861" w:rsidRPr="00621861" w:rsidRDefault="00621861" w:rsidP="00621861">
            <w:pPr>
              <w:spacing w:after="0" w:line="240" w:lineRule="auto"/>
              <w:jc w:val="both"/>
              <w:rPr>
                <w:rFonts w:cs="Calibri"/>
                <w:lang w:val="fr-FR"/>
              </w:rPr>
            </w:pPr>
            <w:r w:rsidRPr="00B36E3F">
              <w:rPr>
                <w:rFonts w:cs="Calibri"/>
                <w:lang w:val="fr-BE"/>
              </w:rPr>
              <w:t xml:space="preserve">Immédiatement après la décision de scission, le projet d'acte constitutif et les statuts de chacune des nouvelles sociétés doivent être approuvés par l'assemblée générale de la société scindée aux mêmes conditions de présence et de majorité que celles requises pour la décision de scission. </w:t>
            </w:r>
            <w:r w:rsidRPr="00621861">
              <w:rPr>
                <w:rFonts w:cs="Calibri"/>
                <w:lang w:val="fr-FR"/>
              </w:rPr>
              <w:t>À défaut, la décision de scission reste sans effet.</w:t>
            </w:r>
          </w:p>
          <w:p w14:paraId="6529D627" w14:textId="77777777" w:rsidR="00621861" w:rsidRPr="00BE221B" w:rsidRDefault="00621861" w:rsidP="00621861">
            <w:pPr>
              <w:spacing w:after="0" w:line="240" w:lineRule="auto"/>
              <w:jc w:val="both"/>
              <w:rPr>
                <w:rFonts w:cs="Calibri"/>
                <w:lang w:val="fr-BE"/>
              </w:rPr>
            </w:pPr>
          </w:p>
        </w:tc>
      </w:tr>
      <w:tr w:rsidR="00895A06" w:rsidRPr="00EE44AC" w14:paraId="6477B7B3" w14:textId="77777777" w:rsidTr="00426C17">
        <w:trPr>
          <w:trHeight w:val="1937"/>
        </w:trPr>
        <w:tc>
          <w:tcPr>
            <w:tcW w:w="2122" w:type="dxa"/>
          </w:tcPr>
          <w:p w14:paraId="34373616" w14:textId="73AA1526" w:rsidR="00895A06" w:rsidRDefault="00D71F12" w:rsidP="005F5C1E">
            <w:pPr>
              <w:spacing w:after="0" w:line="240" w:lineRule="auto"/>
              <w:jc w:val="both"/>
              <w:rPr>
                <w:rFonts w:cs="Calibri"/>
                <w:lang w:val="nl-BE"/>
              </w:rPr>
            </w:pPr>
            <w:hyperlink r:id="rId4" w:history="1">
              <w:r w:rsidR="00895A06" w:rsidRPr="00401D9D">
                <w:rPr>
                  <w:rStyle w:val="Hyperlink"/>
                  <w:rFonts w:cs="Calibri"/>
                  <w:lang w:val="nl-BE"/>
                </w:rPr>
                <w:t>Ontwerp</w:t>
              </w:r>
            </w:hyperlink>
          </w:p>
        </w:tc>
        <w:tc>
          <w:tcPr>
            <w:tcW w:w="5811" w:type="dxa"/>
            <w:shd w:val="clear" w:color="auto" w:fill="auto"/>
          </w:tcPr>
          <w:p w14:paraId="4522BBE4" w14:textId="77777777" w:rsidR="00895A06" w:rsidRPr="00522EBC" w:rsidRDefault="00895A06" w:rsidP="005F5C1E">
            <w:pPr>
              <w:spacing w:after="0" w:line="240" w:lineRule="auto"/>
              <w:jc w:val="both"/>
              <w:rPr>
                <w:rFonts w:cs="Calibri"/>
                <w:bCs/>
                <w:iCs/>
                <w:lang w:val="nl-NL"/>
              </w:rPr>
            </w:pPr>
            <w:r>
              <w:rPr>
                <w:rFonts w:cs="Calibri"/>
                <w:bCs/>
                <w:iCs/>
                <w:lang w:val="nl-NL"/>
              </w:rPr>
              <w:t xml:space="preserve">Art. 12:85. </w:t>
            </w:r>
            <w:r w:rsidRPr="002D6FEF">
              <w:rPr>
                <w:rFonts w:cs="Calibri"/>
                <w:bCs/>
                <w:iCs/>
                <w:lang w:val="nl-NL"/>
              </w:rPr>
              <w:t>Onmiddellijk na het besluit tot splitsing moeten het ontwerp van oprichtingsakte en de statuten van elke nieuwe vennootschap goedgekeurd worden door de algemene vergadering van de gesplitste vennootschap, en dit volgens dezelfde regels van aanwezigheid en meerderheid als diegene die voor een besluit tot splitsing zijn vereist. Bij gebrek daaraan blijft het besluit tot splitsing zonder gevolg.</w:t>
            </w:r>
          </w:p>
        </w:tc>
        <w:tc>
          <w:tcPr>
            <w:tcW w:w="5812" w:type="dxa"/>
            <w:shd w:val="clear" w:color="auto" w:fill="auto"/>
          </w:tcPr>
          <w:p w14:paraId="608EE1C2" w14:textId="77777777" w:rsidR="00895A06" w:rsidRPr="00426C17" w:rsidRDefault="00895A06" w:rsidP="005F5C1E">
            <w:pPr>
              <w:spacing w:after="0" w:line="240" w:lineRule="auto"/>
              <w:jc w:val="both"/>
              <w:rPr>
                <w:rFonts w:cs="Calibri"/>
                <w:lang w:val="fr-FR"/>
              </w:rPr>
            </w:pPr>
            <w:r>
              <w:rPr>
                <w:rFonts w:cs="Calibri"/>
                <w:lang w:val="fr-FR"/>
              </w:rPr>
              <w:t xml:space="preserve">Art. 12:85. </w:t>
            </w:r>
            <w:r w:rsidRPr="002D6FEF">
              <w:rPr>
                <w:rFonts w:cs="Calibri"/>
                <w:lang w:val="fr-FR"/>
              </w:rPr>
              <w:t xml:space="preserve">Immédiatement après la décision de scission, le projet d'acte constitutif et les statuts de chacune des nouvelles sociétés doivent être approuvés par l'assemblée générale de la société scindée aux mêmes conditions de présence et de majorité que celles requises pour la décision de scission. </w:t>
            </w:r>
            <w:r w:rsidRPr="00426C17">
              <w:rPr>
                <w:rFonts w:cs="Calibri"/>
                <w:lang w:val="fr-FR"/>
              </w:rPr>
              <w:t>À défaut, la décision de scission reste sans effet.</w:t>
            </w:r>
          </w:p>
        </w:tc>
      </w:tr>
      <w:tr w:rsidR="00895A06" w:rsidRPr="00426C17" w14:paraId="2E66A7AD" w14:textId="77777777" w:rsidTr="00426C17">
        <w:trPr>
          <w:trHeight w:val="1964"/>
        </w:trPr>
        <w:tc>
          <w:tcPr>
            <w:tcW w:w="2122" w:type="dxa"/>
          </w:tcPr>
          <w:p w14:paraId="5FCF4144" w14:textId="3774DB1A" w:rsidR="00895A06" w:rsidRDefault="00D71F12" w:rsidP="00621861">
            <w:pPr>
              <w:spacing w:after="0" w:line="240" w:lineRule="auto"/>
              <w:jc w:val="both"/>
              <w:rPr>
                <w:rFonts w:cs="Calibri"/>
                <w:lang w:val="nl-BE"/>
              </w:rPr>
            </w:pPr>
            <w:hyperlink r:id="rId5" w:history="1">
              <w:r w:rsidR="00895A06" w:rsidRPr="00401D9D">
                <w:rPr>
                  <w:rStyle w:val="Hyperlink"/>
                  <w:rFonts w:cs="Calibri"/>
                  <w:lang w:val="nl-BE"/>
                </w:rPr>
                <w:t>Voorontwerp</w:t>
              </w:r>
            </w:hyperlink>
          </w:p>
        </w:tc>
        <w:tc>
          <w:tcPr>
            <w:tcW w:w="5811" w:type="dxa"/>
            <w:shd w:val="clear" w:color="auto" w:fill="auto"/>
          </w:tcPr>
          <w:p w14:paraId="2D07B57B" w14:textId="77777777" w:rsidR="00895A06" w:rsidRPr="00B36E3F" w:rsidRDefault="00895A06" w:rsidP="00621861">
            <w:pPr>
              <w:spacing w:after="0" w:line="240" w:lineRule="auto"/>
              <w:jc w:val="both"/>
              <w:rPr>
                <w:rFonts w:cs="Calibri"/>
                <w:bCs/>
                <w:iCs/>
                <w:lang w:val="nl-NL"/>
              </w:rPr>
            </w:pPr>
            <w:r>
              <w:rPr>
                <w:rFonts w:cs="Calibri"/>
                <w:bCs/>
                <w:iCs/>
                <w:lang w:val="nl-NL"/>
              </w:rPr>
              <w:t xml:space="preserve">Art. 12:85. </w:t>
            </w:r>
            <w:r w:rsidRPr="00522EBC">
              <w:rPr>
                <w:rFonts w:cs="Calibri"/>
                <w:bCs/>
                <w:iCs/>
                <w:lang w:val="nl-NL"/>
              </w:rPr>
              <w:t>Onmiddellijk na het besluit tot splitsing moeten het ontwerp van oprichtingsakte en de statuten van elke nieuwe vennootschap goedgekeurd worden door de algemene vergadering van de gesplitste vennootschap, en dit volgens dezelfde regels van aanwezigheid en meerderheid als diegene die voor een besluit tot splitsing zijn vereist. Bij gebrek daaraan blijft het besluit tot splitsing zonder gevolg.</w:t>
            </w:r>
          </w:p>
        </w:tc>
        <w:tc>
          <w:tcPr>
            <w:tcW w:w="5812" w:type="dxa"/>
            <w:shd w:val="clear" w:color="auto" w:fill="auto"/>
          </w:tcPr>
          <w:p w14:paraId="1BC9F91E" w14:textId="77777777" w:rsidR="00895A06" w:rsidRPr="00426C17" w:rsidRDefault="00895A06" w:rsidP="00621861">
            <w:pPr>
              <w:spacing w:after="0" w:line="240" w:lineRule="auto"/>
              <w:jc w:val="both"/>
              <w:rPr>
                <w:rFonts w:cs="Calibri"/>
                <w:lang w:val="fr-FR"/>
              </w:rPr>
            </w:pPr>
            <w:r>
              <w:rPr>
                <w:rFonts w:cs="Calibri"/>
                <w:lang w:val="fr-FR"/>
              </w:rPr>
              <w:t xml:space="preserve">Art. 12:85. </w:t>
            </w:r>
            <w:r w:rsidRPr="00522EBC">
              <w:rPr>
                <w:rFonts w:cs="Calibri"/>
                <w:lang w:val="fr-FR"/>
              </w:rPr>
              <w:t xml:space="preserve">Immédiatement après la décision de scission, le projet d'acte constitutif et les statuts de chacune des nouvelles sociétés doivent être approuvés par l'assemblée générale de la société scindée aux mêmes conditions de présence et de majorité que celles requises pour la décision de scission. </w:t>
            </w:r>
            <w:r w:rsidRPr="00426C17">
              <w:rPr>
                <w:rFonts w:cs="Calibri"/>
                <w:lang w:val="fr-FR"/>
              </w:rPr>
              <w:t>À défaut, la décision de scission reste sans effet.</w:t>
            </w:r>
          </w:p>
        </w:tc>
      </w:tr>
      <w:tr w:rsidR="00895A06" w:rsidRPr="00401D9D" w14:paraId="7D0D411B" w14:textId="77777777" w:rsidTr="00426C17">
        <w:trPr>
          <w:trHeight w:val="844"/>
        </w:trPr>
        <w:tc>
          <w:tcPr>
            <w:tcW w:w="2122" w:type="dxa"/>
          </w:tcPr>
          <w:p w14:paraId="333B5F08" w14:textId="7B1C8900" w:rsidR="00895A06" w:rsidRDefault="00D71F12" w:rsidP="00621861">
            <w:pPr>
              <w:spacing w:after="0" w:line="240" w:lineRule="auto"/>
              <w:jc w:val="both"/>
              <w:rPr>
                <w:rFonts w:cs="Calibri"/>
                <w:lang w:val="nl-BE"/>
              </w:rPr>
            </w:pPr>
            <w:hyperlink r:id="rId6" w:history="1">
              <w:r w:rsidR="00895A06" w:rsidRPr="00401D9D">
                <w:rPr>
                  <w:rStyle w:val="Hyperlink"/>
                  <w:rFonts w:cs="Calibri"/>
                  <w:lang w:val="nl-BE"/>
                </w:rPr>
                <w:t>MvT</w:t>
              </w:r>
            </w:hyperlink>
          </w:p>
        </w:tc>
        <w:tc>
          <w:tcPr>
            <w:tcW w:w="5811" w:type="dxa"/>
            <w:shd w:val="clear" w:color="auto" w:fill="auto"/>
          </w:tcPr>
          <w:p w14:paraId="07B97ED1" w14:textId="77777777" w:rsidR="00895A06" w:rsidRPr="00C01E01" w:rsidRDefault="00895A06" w:rsidP="00C01E01">
            <w:pPr>
              <w:spacing w:after="0" w:line="240" w:lineRule="auto"/>
              <w:jc w:val="both"/>
              <w:rPr>
                <w:rFonts w:cs="Calibri"/>
                <w:bCs/>
                <w:iCs/>
                <w:lang w:val="nl-NL"/>
              </w:rPr>
            </w:pPr>
            <w:r w:rsidRPr="00C01E01">
              <w:rPr>
                <w:rFonts w:cs="Calibri"/>
                <w:bCs/>
                <w:iCs/>
                <w:lang w:val="nl-NL"/>
              </w:rPr>
              <w:t>Artikelen 12:74 – 12:90.</w:t>
            </w:r>
          </w:p>
          <w:p w14:paraId="7242C149" w14:textId="77777777" w:rsidR="00895A06" w:rsidRPr="002D6FEF" w:rsidRDefault="00895A06" w:rsidP="00C01E01">
            <w:pPr>
              <w:spacing w:after="0" w:line="240" w:lineRule="auto"/>
              <w:jc w:val="both"/>
              <w:rPr>
                <w:rFonts w:cs="Calibri"/>
                <w:bCs/>
                <w:iCs/>
                <w:lang w:val="nl-NL"/>
              </w:rPr>
            </w:pPr>
            <w:r w:rsidRPr="00C01E01">
              <w:rPr>
                <w:rFonts w:cs="Calibri"/>
                <w:bCs/>
                <w:iCs/>
                <w:lang w:val="nl-NL"/>
              </w:rPr>
              <w:t>Deze bepalingen hernemen de artikelen 742-757 W.Venn., met volgende verduidelijkingen, wijzigingen en toevoegingen.</w:t>
            </w:r>
          </w:p>
        </w:tc>
        <w:tc>
          <w:tcPr>
            <w:tcW w:w="5812" w:type="dxa"/>
            <w:shd w:val="clear" w:color="auto" w:fill="auto"/>
          </w:tcPr>
          <w:p w14:paraId="05FDF18D" w14:textId="77777777" w:rsidR="00895A06" w:rsidRPr="00426C17" w:rsidRDefault="00895A06" w:rsidP="00C01E01">
            <w:pPr>
              <w:spacing w:after="0" w:line="240" w:lineRule="auto"/>
              <w:jc w:val="both"/>
              <w:rPr>
                <w:rFonts w:cs="Calibri"/>
                <w:lang w:val="fr-FR"/>
              </w:rPr>
            </w:pPr>
            <w:r w:rsidRPr="00426C17">
              <w:rPr>
                <w:rFonts w:cs="Calibri"/>
                <w:lang w:val="fr-FR"/>
              </w:rPr>
              <w:t>Articles 12:74 – 12:90.</w:t>
            </w:r>
          </w:p>
          <w:p w14:paraId="7A287494" w14:textId="77777777" w:rsidR="00895A06" w:rsidRPr="00C01E01" w:rsidRDefault="00895A06" w:rsidP="00C01E01">
            <w:pPr>
              <w:spacing w:after="0" w:line="240" w:lineRule="auto"/>
              <w:jc w:val="both"/>
              <w:rPr>
                <w:rFonts w:cs="Calibri"/>
                <w:lang w:val="fr-FR"/>
              </w:rPr>
            </w:pPr>
            <w:r w:rsidRPr="00C01E01">
              <w:rPr>
                <w:rFonts w:cs="Calibri"/>
                <w:lang w:val="fr-FR"/>
              </w:rPr>
              <w:t>Ces dispositions reprennent les articles 742 à 757 C. soc., moyennant les précisions, modifications et ajouts suivants.</w:t>
            </w:r>
          </w:p>
        </w:tc>
      </w:tr>
      <w:tr w:rsidR="00895A06" w:rsidRPr="00C01E01" w14:paraId="30B0CDFB" w14:textId="77777777" w:rsidTr="00426C17">
        <w:trPr>
          <w:trHeight w:val="416"/>
        </w:trPr>
        <w:tc>
          <w:tcPr>
            <w:tcW w:w="2122" w:type="dxa"/>
          </w:tcPr>
          <w:p w14:paraId="0087A605" w14:textId="1A21E0CD" w:rsidR="00895A06" w:rsidRDefault="00D71F12" w:rsidP="00621861">
            <w:pPr>
              <w:spacing w:after="0" w:line="240" w:lineRule="auto"/>
              <w:jc w:val="both"/>
              <w:rPr>
                <w:rFonts w:cs="Calibri"/>
                <w:lang w:val="nl-BE"/>
              </w:rPr>
            </w:pPr>
            <w:hyperlink r:id="rId7" w:history="1">
              <w:r w:rsidR="00895A06" w:rsidRPr="00401D9D">
                <w:rPr>
                  <w:rStyle w:val="Hyperlink"/>
                  <w:rFonts w:cs="Calibri"/>
                  <w:lang w:val="nl-BE"/>
                </w:rPr>
                <w:t>RvSt</w:t>
              </w:r>
            </w:hyperlink>
          </w:p>
        </w:tc>
        <w:tc>
          <w:tcPr>
            <w:tcW w:w="5811" w:type="dxa"/>
            <w:shd w:val="clear" w:color="auto" w:fill="auto"/>
          </w:tcPr>
          <w:p w14:paraId="6EF8AF02" w14:textId="77777777" w:rsidR="00895A06" w:rsidRPr="00C01E01" w:rsidRDefault="00895A06" w:rsidP="00C01E01">
            <w:pPr>
              <w:spacing w:after="0" w:line="240" w:lineRule="auto"/>
              <w:jc w:val="both"/>
              <w:rPr>
                <w:rFonts w:cs="Calibri"/>
                <w:bCs/>
                <w:iCs/>
                <w:lang w:val="nl-NL"/>
              </w:rPr>
            </w:pPr>
            <w:r>
              <w:rPr>
                <w:rFonts w:cs="Calibri"/>
                <w:bCs/>
                <w:iCs/>
                <w:lang w:val="nl-NL"/>
              </w:rPr>
              <w:t>Geen opmerkingen.</w:t>
            </w:r>
          </w:p>
        </w:tc>
        <w:tc>
          <w:tcPr>
            <w:tcW w:w="5812" w:type="dxa"/>
            <w:shd w:val="clear" w:color="auto" w:fill="auto"/>
          </w:tcPr>
          <w:p w14:paraId="555ECB79" w14:textId="77777777" w:rsidR="00895A06" w:rsidRPr="00C01E01" w:rsidRDefault="00895A06" w:rsidP="00C01E01">
            <w:pPr>
              <w:spacing w:after="0" w:line="240" w:lineRule="auto"/>
              <w:jc w:val="both"/>
              <w:rPr>
                <w:rFonts w:cs="Calibri"/>
                <w:lang w:val="nl-BE"/>
              </w:rPr>
            </w:pPr>
            <w:r>
              <w:rPr>
                <w:rFonts w:cs="Calibri"/>
                <w:lang w:val="nl-BE"/>
              </w:rPr>
              <w:t>Pas de remarques.</w:t>
            </w:r>
          </w:p>
        </w:tc>
      </w:tr>
    </w:tbl>
    <w:p w14:paraId="09DAD4AD" w14:textId="77777777" w:rsidR="001203BA" w:rsidRPr="00C01E01" w:rsidRDefault="001203BA" w:rsidP="001203BA">
      <w:pPr>
        <w:rPr>
          <w:lang w:val="fr-FR"/>
        </w:rPr>
      </w:pPr>
    </w:p>
    <w:p w14:paraId="2B1DB70F" w14:textId="77777777" w:rsidR="00A820D7" w:rsidRPr="00C01E01" w:rsidRDefault="00A820D7">
      <w:pPr>
        <w:rPr>
          <w:lang w:val="fr-FR"/>
        </w:rPr>
      </w:pPr>
    </w:p>
    <w:sectPr w:rsidR="00A820D7" w:rsidRPr="00C01E01"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B17B4"/>
    <w:rsid w:val="000D6EAF"/>
    <w:rsid w:val="000E14C5"/>
    <w:rsid w:val="00102D66"/>
    <w:rsid w:val="00104701"/>
    <w:rsid w:val="001124BA"/>
    <w:rsid w:val="0011776E"/>
    <w:rsid w:val="001203BA"/>
    <w:rsid w:val="001274D6"/>
    <w:rsid w:val="00155DAF"/>
    <w:rsid w:val="00160A1B"/>
    <w:rsid w:val="00181A11"/>
    <w:rsid w:val="00191BAC"/>
    <w:rsid w:val="00193578"/>
    <w:rsid w:val="00214ADA"/>
    <w:rsid w:val="002337A0"/>
    <w:rsid w:val="00251BBF"/>
    <w:rsid w:val="00262FAA"/>
    <w:rsid w:val="0026584A"/>
    <w:rsid w:val="00274C37"/>
    <w:rsid w:val="0029665A"/>
    <w:rsid w:val="00297FF6"/>
    <w:rsid w:val="002A5831"/>
    <w:rsid w:val="002B3F2F"/>
    <w:rsid w:val="002D6FEF"/>
    <w:rsid w:val="002E665B"/>
    <w:rsid w:val="002F7950"/>
    <w:rsid w:val="00300B84"/>
    <w:rsid w:val="00357D30"/>
    <w:rsid w:val="00367502"/>
    <w:rsid w:val="003831C0"/>
    <w:rsid w:val="003A1C6D"/>
    <w:rsid w:val="003A3D34"/>
    <w:rsid w:val="003A7991"/>
    <w:rsid w:val="003F24EE"/>
    <w:rsid w:val="00401D9D"/>
    <w:rsid w:val="00415C03"/>
    <w:rsid w:val="00423115"/>
    <w:rsid w:val="00426C17"/>
    <w:rsid w:val="00441E30"/>
    <w:rsid w:val="0047203B"/>
    <w:rsid w:val="004A39E3"/>
    <w:rsid w:val="004C3052"/>
    <w:rsid w:val="004C63AD"/>
    <w:rsid w:val="00522EBC"/>
    <w:rsid w:val="00525185"/>
    <w:rsid w:val="00562DB1"/>
    <w:rsid w:val="005A3C17"/>
    <w:rsid w:val="005B25E3"/>
    <w:rsid w:val="005C7CE3"/>
    <w:rsid w:val="00621861"/>
    <w:rsid w:val="00645D75"/>
    <w:rsid w:val="00650083"/>
    <w:rsid w:val="006A735D"/>
    <w:rsid w:val="00710A28"/>
    <w:rsid w:val="00710C81"/>
    <w:rsid w:val="00736D86"/>
    <w:rsid w:val="007463B2"/>
    <w:rsid w:val="007532BF"/>
    <w:rsid w:val="007B581C"/>
    <w:rsid w:val="007D7A6B"/>
    <w:rsid w:val="00817848"/>
    <w:rsid w:val="00833A2D"/>
    <w:rsid w:val="00871F22"/>
    <w:rsid w:val="00887B0C"/>
    <w:rsid w:val="00895A06"/>
    <w:rsid w:val="008B2189"/>
    <w:rsid w:val="008D71F7"/>
    <w:rsid w:val="008E164C"/>
    <w:rsid w:val="009172D4"/>
    <w:rsid w:val="00931894"/>
    <w:rsid w:val="00935E60"/>
    <w:rsid w:val="00943313"/>
    <w:rsid w:val="009627E9"/>
    <w:rsid w:val="009A4260"/>
    <w:rsid w:val="009D0B3E"/>
    <w:rsid w:val="009F648C"/>
    <w:rsid w:val="009F7906"/>
    <w:rsid w:val="00A0074A"/>
    <w:rsid w:val="00A152BE"/>
    <w:rsid w:val="00A72BBC"/>
    <w:rsid w:val="00A7675D"/>
    <w:rsid w:val="00A820D7"/>
    <w:rsid w:val="00AA0CC7"/>
    <w:rsid w:val="00AA1A7C"/>
    <w:rsid w:val="00AA5A92"/>
    <w:rsid w:val="00AC1B18"/>
    <w:rsid w:val="00AC1E91"/>
    <w:rsid w:val="00AC6758"/>
    <w:rsid w:val="00B15F17"/>
    <w:rsid w:val="00B41CE6"/>
    <w:rsid w:val="00B43558"/>
    <w:rsid w:val="00B50606"/>
    <w:rsid w:val="00B6333A"/>
    <w:rsid w:val="00B779CF"/>
    <w:rsid w:val="00B97CC3"/>
    <w:rsid w:val="00BA26D2"/>
    <w:rsid w:val="00BB376A"/>
    <w:rsid w:val="00BE2349"/>
    <w:rsid w:val="00BF1861"/>
    <w:rsid w:val="00C01CFA"/>
    <w:rsid w:val="00C01E01"/>
    <w:rsid w:val="00C162B3"/>
    <w:rsid w:val="00C80883"/>
    <w:rsid w:val="00C86467"/>
    <w:rsid w:val="00C86CC5"/>
    <w:rsid w:val="00C91A38"/>
    <w:rsid w:val="00CB210A"/>
    <w:rsid w:val="00CC6422"/>
    <w:rsid w:val="00D66D82"/>
    <w:rsid w:val="00D71F12"/>
    <w:rsid w:val="00D8405B"/>
    <w:rsid w:val="00D96002"/>
    <w:rsid w:val="00E15CFE"/>
    <w:rsid w:val="00E21F8D"/>
    <w:rsid w:val="00E26DE4"/>
    <w:rsid w:val="00E511E0"/>
    <w:rsid w:val="00EB4929"/>
    <w:rsid w:val="00ED31D7"/>
    <w:rsid w:val="00ED3B78"/>
    <w:rsid w:val="00EE44AC"/>
    <w:rsid w:val="00F03C83"/>
    <w:rsid w:val="00F234EA"/>
    <w:rsid w:val="00F301AA"/>
    <w:rsid w:val="00F31AEF"/>
    <w:rsid w:val="00F54E2C"/>
    <w:rsid w:val="00F61965"/>
    <w:rsid w:val="00F63D28"/>
    <w:rsid w:val="00F67171"/>
    <w:rsid w:val="00F74E3F"/>
    <w:rsid w:val="00F9299A"/>
    <w:rsid w:val="00FD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1DEE"/>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character" w:styleId="Hyperlink">
    <w:name w:val="Hyperlink"/>
    <w:basedOn w:val="Standaardalinea-lettertype"/>
    <w:uiPriority w:val="99"/>
    <w:unhideWhenUsed/>
    <w:rsid w:val="00401D9D"/>
    <w:rPr>
      <w:color w:val="0563C1" w:themeColor="hyperlink"/>
      <w:u w:val="single"/>
    </w:rPr>
  </w:style>
  <w:style w:type="character" w:styleId="Onopgelostemelding">
    <w:name w:val="Unresolved Mention"/>
    <w:basedOn w:val="Standaardalinea-lettertype"/>
    <w:uiPriority w:val="99"/>
    <w:rsid w:val="00401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2518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10</cp:revision>
  <dcterms:created xsi:type="dcterms:W3CDTF">2019-11-04T10:40:00Z</dcterms:created>
  <dcterms:modified xsi:type="dcterms:W3CDTF">2024-06-12T06:19:00Z</dcterms:modified>
</cp:coreProperties>
</file>