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283"/>
        <w:gridCol w:w="5528"/>
        <w:gridCol w:w="5812"/>
      </w:tblGrid>
      <w:tr w:rsidR="001203BA" w:rsidRPr="009460AE" w14:paraId="2E4F263C" w14:textId="77777777" w:rsidTr="003564D8">
        <w:tc>
          <w:tcPr>
            <w:tcW w:w="2405" w:type="dxa"/>
            <w:gridSpan w:val="2"/>
          </w:tcPr>
          <w:p w14:paraId="75395945" w14:textId="77777777" w:rsidR="001203BA" w:rsidRPr="00B07AC9" w:rsidRDefault="00842D8E" w:rsidP="007D7A6B">
            <w:pPr>
              <w:rPr>
                <w:b/>
                <w:sz w:val="32"/>
                <w:szCs w:val="32"/>
                <w:lang w:val="nl-BE"/>
              </w:rPr>
            </w:pPr>
            <w:r>
              <w:rPr>
                <w:b/>
                <w:sz w:val="32"/>
                <w:szCs w:val="32"/>
                <w:lang w:val="nl-BE"/>
              </w:rPr>
              <w:t>ARTIKEL 13</w:t>
            </w:r>
            <w:r w:rsidR="005E7872">
              <w:rPr>
                <w:b/>
                <w:sz w:val="32"/>
                <w:szCs w:val="32"/>
                <w:lang w:val="nl-BE"/>
              </w:rPr>
              <w:t>:9</w:t>
            </w:r>
          </w:p>
        </w:tc>
        <w:tc>
          <w:tcPr>
            <w:tcW w:w="11340" w:type="dxa"/>
            <w:gridSpan w:val="2"/>
            <w:shd w:val="clear" w:color="auto" w:fill="auto"/>
          </w:tcPr>
          <w:p w14:paraId="342298DD" w14:textId="77777777" w:rsidR="001203BA" w:rsidRPr="008E7328" w:rsidRDefault="001203BA" w:rsidP="00853C03">
            <w:pPr>
              <w:jc w:val="center"/>
              <w:rPr>
                <w:rFonts w:ascii="Cambria" w:eastAsia="Calibri" w:hAnsi="Cambria" w:cs="Times New Roman"/>
                <w:b/>
                <w:bCs/>
                <w:color w:val="4F81BD"/>
                <w:sz w:val="32"/>
                <w:szCs w:val="26"/>
                <w:lang w:val="nl-BE" w:eastAsia="fr-FR"/>
              </w:rPr>
            </w:pPr>
          </w:p>
        </w:tc>
      </w:tr>
      <w:tr w:rsidR="001203BA" w:rsidRPr="00441E30" w14:paraId="1258D177" w14:textId="77777777" w:rsidTr="003564D8">
        <w:tc>
          <w:tcPr>
            <w:tcW w:w="2405" w:type="dxa"/>
            <w:gridSpan w:val="2"/>
          </w:tcPr>
          <w:p w14:paraId="2D7A9E5F" w14:textId="77777777" w:rsidR="001203BA" w:rsidRPr="00B07AC9" w:rsidRDefault="001203BA" w:rsidP="007D7A6B">
            <w:pPr>
              <w:rPr>
                <w:b/>
                <w:sz w:val="32"/>
                <w:szCs w:val="32"/>
                <w:lang w:val="nl-BE"/>
              </w:rPr>
            </w:pPr>
          </w:p>
        </w:tc>
        <w:tc>
          <w:tcPr>
            <w:tcW w:w="11340" w:type="dxa"/>
            <w:gridSpan w:val="2"/>
            <w:shd w:val="clear" w:color="auto" w:fill="auto"/>
          </w:tcPr>
          <w:p w14:paraId="541A5C6E"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5E7872" w:rsidRPr="007D5B99" w14:paraId="034ABFEA" w14:textId="77777777" w:rsidTr="000D4A76">
        <w:trPr>
          <w:trHeight w:val="2645"/>
        </w:trPr>
        <w:tc>
          <w:tcPr>
            <w:tcW w:w="2122" w:type="dxa"/>
          </w:tcPr>
          <w:p w14:paraId="74686C1D" w14:textId="77777777" w:rsidR="005E7872" w:rsidRDefault="005E7872" w:rsidP="00DD2977">
            <w:pPr>
              <w:spacing w:after="0" w:line="240" w:lineRule="auto"/>
              <w:rPr>
                <w:rFonts w:cs="Calibri"/>
                <w:lang w:val="nl-BE"/>
              </w:rPr>
            </w:pPr>
            <w:r>
              <w:rPr>
                <w:rFonts w:cs="Calibri"/>
                <w:lang w:val="nl-BE"/>
              </w:rPr>
              <w:t>WVV</w:t>
            </w:r>
          </w:p>
        </w:tc>
        <w:tc>
          <w:tcPr>
            <w:tcW w:w="5811" w:type="dxa"/>
            <w:gridSpan w:val="2"/>
            <w:shd w:val="clear" w:color="auto" w:fill="auto"/>
          </w:tcPr>
          <w:p w14:paraId="650882FA" w14:textId="77777777" w:rsidR="005E7872" w:rsidRPr="007665F9" w:rsidRDefault="005E7872" w:rsidP="005E7872">
            <w:pPr>
              <w:spacing w:after="0" w:line="240" w:lineRule="auto"/>
              <w:jc w:val="both"/>
              <w:rPr>
                <w:rFonts w:cs="Calibri"/>
                <w:lang w:val="nl-BE"/>
              </w:rPr>
            </w:pPr>
            <w:r w:rsidRPr="007665F9">
              <w:rPr>
                <w:rFonts w:cs="Calibri"/>
                <w:lang w:val="nl-BE"/>
              </w:rPr>
              <w:t>De nietigheid doet op zichzelf geen afbreuk aan de geldigheid van de verbintenissen die ten laste of ten gunste van de verkrijgende rechtspersonen zijn ontstaan tussen het tijdstip waarop de verrichting uitwerking heeft gehad en de datum waarop de beslissing waarbij de nietigheid wordt uitgesproken, wordt bekendgemaakt.</w:t>
            </w:r>
          </w:p>
          <w:p w14:paraId="1295A723" w14:textId="77777777" w:rsidR="005E7872" w:rsidRPr="007665F9" w:rsidRDefault="005E7872" w:rsidP="005E7872">
            <w:pPr>
              <w:spacing w:after="0" w:line="240" w:lineRule="auto"/>
              <w:jc w:val="both"/>
              <w:rPr>
                <w:rFonts w:cs="Calibri"/>
                <w:lang w:val="nl-BE"/>
              </w:rPr>
            </w:pPr>
          </w:p>
          <w:p w14:paraId="123995ED" w14:textId="77777777" w:rsidR="005E7872" w:rsidRPr="00B73889" w:rsidRDefault="005E7872" w:rsidP="005E7872">
            <w:pPr>
              <w:spacing w:after="0" w:line="240" w:lineRule="auto"/>
              <w:jc w:val="both"/>
              <w:rPr>
                <w:rFonts w:cs="Calibri"/>
                <w:lang w:val="nl-BE"/>
              </w:rPr>
            </w:pPr>
            <w:r w:rsidRPr="007665F9">
              <w:rPr>
                <w:rFonts w:cs="Calibri"/>
                <w:lang w:val="nl-BE"/>
              </w:rPr>
              <w:t>De betrokken rechtspersonen zijn hoofdelijk aansprakelijk voor zodanige verbintenissen die ten laste van de verkrijgende rechtspersonen zijn ontstaan.</w:t>
            </w:r>
          </w:p>
        </w:tc>
        <w:tc>
          <w:tcPr>
            <w:tcW w:w="5812" w:type="dxa"/>
            <w:shd w:val="clear" w:color="auto" w:fill="auto"/>
          </w:tcPr>
          <w:p w14:paraId="46395F04" w14:textId="77777777" w:rsidR="005E7872" w:rsidRPr="005E7872" w:rsidRDefault="005E7872" w:rsidP="005E7872">
            <w:pPr>
              <w:spacing w:after="0" w:line="240" w:lineRule="auto"/>
              <w:jc w:val="both"/>
              <w:rPr>
                <w:rFonts w:cs="Calibri"/>
                <w:lang w:val="fr-FR"/>
              </w:rPr>
            </w:pPr>
            <w:r w:rsidRPr="007665F9">
              <w:rPr>
                <w:rFonts w:cs="Calibri"/>
                <w:lang w:val="fr-BE"/>
              </w:rPr>
              <w:t>La nullité ne porte pas atteinte par elle-même à la validité des obligations nées à la charge ou au profit des personnes morales bénéficiaires entre le moment où l’opération a sorti ses effets et la date à laquelle la décision prononçant la nullité est publiée.</w:t>
            </w:r>
          </w:p>
          <w:p w14:paraId="21FF05F4" w14:textId="77777777" w:rsidR="005E7872" w:rsidRDefault="005E7872" w:rsidP="005E7872">
            <w:pPr>
              <w:spacing w:after="0" w:line="240" w:lineRule="auto"/>
              <w:jc w:val="both"/>
              <w:rPr>
                <w:rFonts w:cs="Calibri"/>
                <w:lang w:val="fr-BE"/>
              </w:rPr>
            </w:pPr>
          </w:p>
          <w:p w14:paraId="4F9431E3" w14:textId="77777777" w:rsidR="005E7872" w:rsidRPr="00BE221B" w:rsidRDefault="005E7872" w:rsidP="005E7872">
            <w:pPr>
              <w:spacing w:after="0" w:line="240" w:lineRule="auto"/>
              <w:jc w:val="both"/>
              <w:rPr>
                <w:rFonts w:cs="Calibri"/>
                <w:lang w:val="fr-BE"/>
              </w:rPr>
            </w:pPr>
            <w:r w:rsidRPr="007665F9">
              <w:rPr>
                <w:rFonts w:cs="Calibri"/>
                <w:lang w:val="fr-BE"/>
              </w:rPr>
              <w:t>Les personnes morales concernées répondent solidairement de ces obligations nées à charge des personnes morales bénéficiaires.</w:t>
            </w:r>
          </w:p>
        </w:tc>
      </w:tr>
      <w:tr w:rsidR="001275A1" w:rsidRPr="007D5B99" w14:paraId="7F1572B2" w14:textId="77777777" w:rsidTr="000D4A76">
        <w:trPr>
          <w:trHeight w:val="2645"/>
        </w:trPr>
        <w:tc>
          <w:tcPr>
            <w:tcW w:w="2122" w:type="dxa"/>
          </w:tcPr>
          <w:p w14:paraId="65B11D71" w14:textId="77777777" w:rsidR="001275A1" w:rsidRDefault="001275A1" w:rsidP="00097E69">
            <w:pPr>
              <w:spacing w:after="0" w:line="240" w:lineRule="auto"/>
              <w:rPr>
                <w:rFonts w:cs="Calibri"/>
                <w:lang w:val="nl-BE"/>
              </w:rPr>
            </w:pPr>
            <w:r>
              <w:rPr>
                <w:rFonts w:cs="Calibri"/>
                <w:lang w:val="nl-BE"/>
              </w:rPr>
              <w:t>Ontwerp</w:t>
            </w:r>
          </w:p>
        </w:tc>
        <w:tc>
          <w:tcPr>
            <w:tcW w:w="5811" w:type="dxa"/>
            <w:gridSpan w:val="2"/>
            <w:shd w:val="clear" w:color="auto" w:fill="auto"/>
          </w:tcPr>
          <w:p w14:paraId="56C3630D" w14:textId="77777777" w:rsidR="001275A1" w:rsidRPr="009E2188" w:rsidRDefault="001275A1" w:rsidP="00097E69">
            <w:pPr>
              <w:spacing w:after="0" w:line="240" w:lineRule="auto"/>
              <w:jc w:val="both"/>
              <w:rPr>
                <w:rFonts w:cs="Calibri"/>
                <w:lang w:val="nl-BE"/>
              </w:rPr>
            </w:pPr>
            <w:r>
              <w:rPr>
                <w:rFonts w:cs="Calibri"/>
                <w:lang w:val="nl-BE"/>
              </w:rPr>
              <w:t xml:space="preserve">Art. 13:9. </w:t>
            </w:r>
            <w:r w:rsidRPr="009E2188">
              <w:rPr>
                <w:rFonts w:cs="Calibri"/>
                <w:lang w:val="nl-BE"/>
              </w:rPr>
              <w:t>De nietigheid doet op zichzelf geen afbreuk aan de geldigheid van de verbintenissen die ten laste of ten gunste van de verkrijgende rechtspersonen zijn ontstaan tussen het tijdstip waarop de verrichting uitwerking heeft gehad en de datum waarop de beslissing waarbij de nietigheid wordt uitgesproken, wordt bekendgemaakt.</w:t>
            </w:r>
          </w:p>
          <w:p w14:paraId="20BBC2E4" w14:textId="77777777" w:rsidR="001275A1" w:rsidRDefault="001275A1" w:rsidP="00097E69">
            <w:pPr>
              <w:spacing w:after="0" w:line="240" w:lineRule="auto"/>
              <w:jc w:val="both"/>
              <w:rPr>
                <w:rFonts w:cs="Calibri"/>
                <w:lang w:val="nl-BE"/>
              </w:rPr>
            </w:pPr>
            <w:r w:rsidRPr="009E2188">
              <w:rPr>
                <w:rFonts w:cs="Calibri"/>
                <w:lang w:val="nl-BE"/>
              </w:rPr>
              <w:t xml:space="preserve">  </w:t>
            </w:r>
          </w:p>
          <w:p w14:paraId="5E305E26" w14:textId="77777777" w:rsidR="001275A1" w:rsidRDefault="001275A1" w:rsidP="00097E69">
            <w:pPr>
              <w:spacing w:after="0" w:line="240" w:lineRule="auto"/>
              <w:jc w:val="both"/>
              <w:rPr>
                <w:rFonts w:cs="Calibri"/>
                <w:lang w:val="nl-BE"/>
              </w:rPr>
            </w:pPr>
            <w:r w:rsidRPr="009E2188">
              <w:rPr>
                <w:rFonts w:cs="Calibri"/>
                <w:lang w:val="nl-BE"/>
              </w:rPr>
              <w:t>De betrokken rechtspersonen zijn hoofdelijk aansprakelijk voor zodanige verbintenissen die ten laste van de verkrijgende rechtspersonen zijn ontstaan.</w:t>
            </w:r>
          </w:p>
        </w:tc>
        <w:tc>
          <w:tcPr>
            <w:tcW w:w="5812" w:type="dxa"/>
            <w:shd w:val="clear" w:color="auto" w:fill="auto"/>
          </w:tcPr>
          <w:p w14:paraId="0098AFED" w14:textId="77777777" w:rsidR="001275A1" w:rsidRPr="009E2188" w:rsidRDefault="001275A1" w:rsidP="00097E69">
            <w:pPr>
              <w:spacing w:after="0" w:line="240" w:lineRule="auto"/>
              <w:jc w:val="both"/>
              <w:rPr>
                <w:rFonts w:cs="Calibri"/>
                <w:lang w:val="fr-FR"/>
              </w:rPr>
            </w:pPr>
            <w:r w:rsidRPr="009E2188">
              <w:rPr>
                <w:rFonts w:cs="Calibri"/>
                <w:lang w:val="fr-FR"/>
              </w:rPr>
              <w:t xml:space="preserve">Art. </w:t>
            </w:r>
            <w:proofErr w:type="gramStart"/>
            <w:r w:rsidRPr="009E2188">
              <w:rPr>
                <w:rFonts w:cs="Calibri"/>
                <w:lang w:val="fr-FR"/>
              </w:rPr>
              <w:t>13:</w:t>
            </w:r>
            <w:proofErr w:type="gramEnd"/>
            <w:r w:rsidRPr="009E2188">
              <w:rPr>
                <w:rFonts w:cs="Calibri"/>
                <w:lang w:val="fr-FR"/>
              </w:rPr>
              <w:t>9. La nullité ne porte pas atteinte par elle-même à la validité des obligations nées à la charge ou au profit des personnes morales bénéficiaires entre le moment où l’opération a sorti ses effets et la date à laquelle la décision prononçant la nullité est publiée.</w:t>
            </w:r>
          </w:p>
          <w:p w14:paraId="7CA1BB96" w14:textId="77777777" w:rsidR="001275A1" w:rsidRDefault="001275A1" w:rsidP="00097E69">
            <w:pPr>
              <w:spacing w:after="0" w:line="240" w:lineRule="auto"/>
              <w:jc w:val="both"/>
              <w:rPr>
                <w:rFonts w:cs="Calibri"/>
                <w:lang w:val="fr-FR"/>
              </w:rPr>
            </w:pPr>
            <w:r w:rsidRPr="009E2188">
              <w:rPr>
                <w:rFonts w:cs="Calibri"/>
                <w:lang w:val="fr-FR"/>
              </w:rPr>
              <w:t xml:space="preserve">  </w:t>
            </w:r>
          </w:p>
          <w:p w14:paraId="63A654F0" w14:textId="77777777" w:rsidR="001275A1" w:rsidRPr="009E2188" w:rsidRDefault="001275A1" w:rsidP="00097E69">
            <w:pPr>
              <w:spacing w:after="0" w:line="240" w:lineRule="auto"/>
              <w:jc w:val="both"/>
              <w:rPr>
                <w:rFonts w:cs="Calibri"/>
                <w:lang w:val="fr-FR"/>
              </w:rPr>
            </w:pPr>
            <w:r>
              <w:rPr>
                <w:rFonts w:cs="Calibri"/>
                <w:lang w:val="fr-FR"/>
              </w:rPr>
              <w:t>L</w:t>
            </w:r>
            <w:r w:rsidRPr="009E2188">
              <w:rPr>
                <w:rFonts w:cs="Calibri"/>
                <w:lang w:val="fr-FR"/>
              </w:rPr>
              <w:t>es personnes morales concernées répondent solidairement de ces obligations nées à charge des personnes morales bénéficiaires.</w:t>
            </w:r>
          </w:p>
        </w:tc>
      </w:tr>
      <w:tr w:rsidR="001275A1" w:rsidRPr="00DD2977" w14:paraId="5FB1642F" w14:textId="77777777" w:rsidTr="000D4A76">
        <w:trPr>
          <w:trHeight w:val="417"/>
        </w:trPr>
        <w:tc>
          <w:tcPr>
            <w:tcW w:w="2122" w:type="dxa"/>
          </w:tcPr>
          <w:p w14:paraId="74DE0C00" w14:textId="77777777" w:rsidR="001275A1" w:rsidRDefault="001275A1" w:rsidP="00DD2977">
            <w:pPr>
              <w:spacing w:after="0" w:line="240" w:lineRule="auto"/>
              <w:rPr>
                <w:rFonts w:cs="Calibri"/>
                <w:lang w:val="nl-BE"/>
              </w:rPr>
            </w:pPr>
            <w:r>
              <w:rPr>
                <w:rFonts w:cs="Calibri"/>
                <w:lang w:val="nl-BE"/>
              </w:rPr>
              <w:t>Voorontwerp</w:t>
            </w:r>
          </w:p>
        </w:tc>
        <w:tc>
          <w:tcPr>
            <w:tcW w:w="5811" w:type="dxa"/>
            <w:gridSpan w:val="2"/>
            <w:shd w:val="clear" w:color="auto" w:fill="auto"/>
          </w:tcPr>
          <w:p w14:paraId="057F473A" w14:textId="77777777" w:rsidR="001275A1" w:rsidRPr="007665F9" w:rsidRDefault="001275A1" w:rsidP="005E7872">
            <w:pPr>
              <w:spacing w:after="0" w:line="240" w:lineRule="auto"/>
              <w:jc w:val="both"/>
              <w:rPr>
                <w:rFonts w:cs="Calibri"/>
                <w:lang w:val="nl-BE"/>
              </w:rPr>
            </w:pPr>
            <w:r>
              <w:rPr>
                <w:rFonts w:cs="Calibri"/>
                <w:lang w:val="nl-BE"/>
              </w:rPr>
              <w:t>Geen artikel.</w:t>
            </w:r>
          </w:p>
        </w:tc>
        <w:tc>
          <w:tcPr>
            <w:tcW w:w="5812" w:type="dxa"/>
            <w:shd w:val="clear" w:color="auto" w:fill="auto"/>
          </w:tcPr>
          <w:p w14:paraId="7EDC2CD8" w14:textId="77777777" w:rsidR="001275A1" w:rsidRPr="007665F9" w:rsidRDefault="001275A1" w:rsidP="005E7872">
            <w:pPr>
              <w:spacing w:after="0" w:line="240" w:lineRule="auto"/>
              <w:jc w:val="both"/>
              <w:rPr>
                <w:rFonts w:cs="Calibri"/>
                <w:lang w:val="fr-BE"/>
              </w:rPr>
            </w:pPr>
            <w:r>
              <w:rPr>
                <w:rFonts w:cs="Calibri"/>
                <w:lang w:val="fr-BE"/>
              </w:rPr>
              <w:t>Pas d’article.</w:t>
            </w:r>
          </w:p>
        </w:tc>
      </w:tr>
      <w:tr w:rsidR="001275A1" w:rsidRPr="001275A1" w14:paraId="69447C78" w14:textId="77777777" w:rsidTr="000D4A76">
        <w:trPr>
          <w:trHeight w:val="519"/>
        </w:trPr>
        <w:tc>
          <w:tcPr>
            <w:tcW w:w="2122" w:type="dxa"/>
          </w:tcPr>
          <w:p w14:paraId="335D59E2" w14:textId="77777777" w:rsidR="001275A1" w:rsidRPr="00765BA3" w:rsidRDefault="001275A1" w:rsidP="006618B3">
            <w:pPr>
              <w:spacing w:after="0" w:line="240" w:lineRule="auto"/>
              <w:rPr>
                <w:rFonts w:cs="Calibri"/>
                <w:lang w:val="fr-FR"/>
              </w:rPr>
            </w:pPr>
            <w:bookmarkStart w:id="0" w:name="_GoBack"/>
            <w:bookmarkEnd w:id="0"/>
            <w:proofErr w:type="spellStart"/>
            <w:r>
              <w:rPr>
                <w:rFonts w:cs="Calibri"/>
                <w:lang w:val="fr-FR"/>
              </w:rPr>
              <w:t>MvT</w:t>
            </w:r>
            <w:proofErr w:type="spellEnd"/>
          </w:p>
        </w:tc>
        <w:tc>
          <w:tcPr>
            <w:tcW w:w="5811" w:type="dxa"/>
            <w:gridSpan w:val="2"/>
            <w:shd w:val="clear" w:color="auto" w:fill="auto"/>
          </w:tcPr>
          <w:p w14:paraId="1F4E01C7" w14:textId="77777777" w:rsidR="001275A1" w:rsidRPr="00765BA3" w:rsidRDefault="001275A1" w:rsidP="006618B3">
            <w:pPr>
              <w:spacing w:after="0" w:line="240" w:lineRule="auto"/>
              <w:jc w:val="both"/>
              <w:rPr>
                <w:lang w:val="nl-BE"/>
              </w:rPr>
            </w:pPr>
            <w:r w:rsidRPr="005579B6">
              <w:rPr>
                <w:u w:val="single"/>
                <w:lang w:val="nl-BE"/>
              </w:rPr>
              <w:t>Artikelen 13:5 tot 13:9.</w:t>
            </w:r>
          </w:p>
          <w:p w14:paraId="0EA6FE7F" w14:textId="77777777" w:rsidR="001275A1" w:rsidRPr="00BE221B" w:rsidRDefault="001275A1" w:rsidP="006618B3">
            <w:pPr>
              <w:spacing w:after="0" w:line="240" w:lineRule="auto"/>
              <w:jc w:val="both"/>
              <w:rPr>
                <w:lang w:val="nl-BE"/>
              </w:rPr>
            </w:pPr>
            <w:r w:rsidRPr="005579B6">
              <w:rPr>
                <w:lang w:val="nl-BE"/>
              </w:rPr>
              <w:t>Deze artikelen zijn geïnspireerd op de teksten inzake tegenwerpelijkheid, zekerheidstelling en nietigheid inzake fusie en splitsing van vennootschappen.</w:t>
            </w:r>
          </w:p>
        </w:tc>
        <w:tc>
          <w:tcPr>
            <w:tcW w:w="5812" w:type="dxa"/>
            <w:shd w:val="clear" w:color="auto" w:fill="auto"/>
          </w:tcPr>
          <w:p w14:paraId="377E0163" w14:textId="77777777" w:rsidR="001275A1" w:rsidRPr="00765BA3" w:rsidRDefault="001275A1" w:rsidP="006618B3">
            <w:pPr>
              <w:spacing w:after="0" w:line="240" w:lineRule="auto"/>
              <w:jc w:val="both"/>
              <w:rPr>
                <w:lang w:val="fr-FR"/>
              </w:rPr>
            </w:pPr>
            <w:r w:rsidRPr="005579B6">
              <w:rPr>
                <w:u w:val="single"/>
                <w:lang w:val="fr-FR"/>
              </w:rPr>
              <w:t xml:space="preserve">Articles </w:t>
            </w:r>
            <w:proofErr w:type="gramStart"/>
            <w:r w:rsidRPr="005579B6">
              <w:rPr>
                <w:u w:val="single"/>
                <w:lang w:val="fr-FR"/>
              </w:rPr>
              <w:t>13:</w:t>
            </w:r>
            <w:proofErr w:type="gramEnd"/>
            <w:r w:rsidRPr="005579B6">
              <w:rPr>
                <w:u w:val="single"/>
                <w:lang w:val="fr-FR"/>
              </w:rPr>
              <w:t>5 à 13:9.</w:t>
            </w:r>
          </w:p>
          <w:p w14:paraId="78081618" w14:textId="77777777" w:rsidR="001275A1" w:rsidRPr="00625F93" w:rsidRDefault="001275A1" w:rsidP="006618B3">
            <w:pPr>
              <w:spacing w:after="0" w:line="240" w:lineRule="auto"/>
              <w:jc w:val="both"/>
              <w:rPr>
                <w:b/>
                <w:lang w:val="fr-FR"/>
              </w:rPr>
            </w:pPr>
            <w:r w:rsidRPr="005579B6">
              <w:rPr>
                <w:lang w:val="fr-FR"/>
              </w:rPr>
              <w:t xml:space="preserve">Ces articles s’inspirent directement des textes en matière d’opposabilité, de fixations de sûretés et de </w:t>
            </w:r>
            <w:proofErr w:type="gramStart"/>
            <w:r w:rsidRPr="005579B6">
              <w:rPr>
                <w:lang w:val="fr-FR"/>
              </w:rPr>
              <w:t>nullité prévues</w:t>
            </w:r>
            <w:proofErr w:type="gramEnd"/>
            <w:r w:rsidRPr="005579B6">
              <w:rPr>
                <w:lang w:val="fr-FR"/>
              </w:rPr>
              <w:t xml:space="preserve"> en matière de fusion et de scission de sociétés.</w:t>
            </w:r>
          </w:p>
        </w:tc>
      </w:tr>
      <w:tr w:rsidR="001275A1" w:rsidRPr="006618B3" w14:paraId="005C2086" w14:textId="77777777" w:rsidTr="007D5B99">
        <w:trPr>
          <w:trHeight w:val="418"/>
        </w:trPr>
        <w:tc>
          <w:tcPr>
            <w:tcW w:w="2122" w:type="dxa"/>
          </w:tcPr>
          <w:p w14:paraId="0367FB36" w14:textId="77777777" w:rsidR="001275A1" w:rsidRPr="00765BA3" w:rsidRDefault="001275A1" w:rsidP="006618B3">
            <w:pPr>
              <w:spacing w:after="0" w:line="240" w:lineRule="auto"/>
              <w:rPr>
                <w:rFonts w:cs="Calibri"/>
                <w:lang w:val="fr-FR"/>
              </w:rPr>
            </w:pPr>
            <w:proofErr w:type="spellStart"/>
            <w:r>
              <w:rPr>
                <w:rFonts w:cs="Calibri"/>
                <w:lang w:val="fr-FR"/>
              </w:rPr>
              <w:t>RvSt</w:t>
            </w:r>
            <w:proofErr w:type="spellEnd"/>
          </w:p>
        </w:tc>
        <w:tc>
          <w:tcPr>
            <w:tcW w:w="5811" w:type="dxa"/>
            <w:gridSpan w:val="2"/>
            <w:shd w:val="clear" w:color="auto" w:fill="auto"/>
          </w:tcPr>
          <w:p w14:paraId="471D0482" w14:textId="77777777" w:rsidR="001275A1" w:rsidRPr="00765BA3" w:rsidRDefault="001275A1" w:rsidP="006618B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3F42CA6A" w14:textId="77777777" w:rsidR="001275A1" w:rsidRPr="00955981" w:rsidRDefault="001275A1" w:rsidP="006618B3">
            <w:pPr>
              <w:spacing w:after="0" w:line="240" w:lineRule="auto"/>
              <w:jc w:val="both"/>
              <w:rPr>
                <w:rFonts w:cs="Calibri"/>
                <w:lang w:val="fr-FR"/>
              </w:rPr>
            </w:pPr>
            <w:r>
              <w:rPr>
                <w:rFonts w:cs="Calibri"/>
                <w:lang w:val="fr-FR"/>
              </w:rPr>
              <w:t>Pas de remarques.</w:t>
            </w:r>
          </w:p>
        </w:tc>
      </w:tr>
    </w:tbl>
    <w:p w14:paraId="69586A40" w14:textId="77777777" w:rsidR="001203BA" w:rsidRPr="009E2188" w:rsidRDefault="001203BA" w:rsidP="001203BA">
      <w:pPr>
        <w:rPr>
          <w:lang w:val="fr-FR"/>
        </w:rPr>
      </w:pPr>
    </w:p>
    <w:p w14:paraId="7FF11494" w14:textId="77777777" w:rsidR="00A820D7" w:rsidRPr="009E2188" w:rsidRDefault="00A820D7">
      <w:pPr>
        <w:rPr>
          <w:lang w:val="fr-FR"/>
        </w:rPr>
      </w:pPr>
    </w:p>
    <w:sectPr w:rsidR="00A820D7" w:rsidRPr="009E218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4A76"/>
    <w:rsid w:val="000D6EAF"/>
    <w:rsid w:val="000E14C5"/>
    <w:rsid w:val="000F28E4"/>
    <w:rsid w:val="00102D66"/>
    <w:rsid w:val="00104701"/>
    <w:rsid w:val="001124BA"/>
    <w:rsid w:val="0011776E"/>
    <w:rsid w:val="001203BA"/>
    <w:rsid w:val="001274D6"/>
    <w:rsid w:val="001275A1"/>
    <w:rsid w:val="00141EB0"/>
    <w:rsid w:val="00142276"/>
    <w:rsid w:val="00155DAF"/>
    <w:rsid w:val="00160A1B"/>
    <w:rsid w:val="00164A72"/>
    <w:rsid w:val="00181A11"/>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A1C6D"/>
    <w:rsid w:val="003A3D34"/>
    <w:rsid w:val="003A7991"/>
    <w:rsid w:val="003F05C9"/>
    <w:rsid w:val="003F24EE"/>
    <w:rsid w:val="003F6F60"/>
    <w:rsid w:val="00415C03"/>
    <w:rsid w:val="00423115"/>
    <w:rsid w:val="00441E30"/>
    <w:rsid w:val="004443F2"/>
    <w:rsid w:val="0047203B"/>
    <w:rsid w:val="00492278"/>
    <w:rsid w:val="004A39E3"/>
    <w:rsid w:val="004C3052"/>
    <w:rsid w:val="004C63AD"/>
    <w:rsid w:val="00502CB1"/>
    <w:rsid w:val="005133BD"/>
    <w:rsid w:val="00525185"/>
    <w:rsid w:val="005415E2"/>
    <w:rsid w:val="00552D57"/>
    <w:rsid w:val="00562DB1"/>
    <w:rsid w:val="005A3C17"/>
    <w:rsid w:val="005A7179"/>
    <w:rsid w:val="005B25E3"/>
    <w:rsid w:val="005B2F3D"/>
    <w:rsid w:val="005C7CE3"/>
    <w:rsid w:val="005D1201"/>
    <w:rsid w:val="005E7872"/>
    <w:rsid w:val="00621861"/>
    <w:rsid w:val="00625F93"/>
    <w:rsid w:val="0064095E"/>
    <w:rsid w:val="00645D75"/>
    <w:rsid w:val="00650083"/>
    <w:rsid w:val="00657805"/>
    <w:rsid w:val="006618B3"/>
    <w:rsid w:val="00686C06"/>
    <w:rsid w:val="006A735D"/>
    <w:rsid w:val="006D501B"/>
    <w:rsid w:val="00706549"/>
    <w:rsid w:val="00710A28"/>
    <w:rsid w:val="00710C81"/>
    <w:rsid w:val="00736D86"/>
    <w:rsid w:val="00741F2C"/>
    <w:rsid w:val="007463B2"/>
    <w:rsid w:val="007532BF"/>
    <w:rsid w:val="007B17CA"/>
    <w:rsid w:val="007B581C"/>
    <w:rsid w:val="007D5B99"/>
    <w:rsid w:val="007D7A6B"/>
    <w:rsid w:val="00817848"/>
    <w:rsid w:val="00833A2D"/>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E2188"/>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D42D9B"/>
    <w:rsid w:val="00D46773"/>
    <w:rsid w:val="00D66D82"/>
    <w:rsid w:val="00D8405B"/>
    <w:rsid w:val="00D96002"/>
    <w:rsid w:val="00DD2977"/>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20E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1902</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2019-11-04T12:49:00Z</dcterms:created>
  <dcterms:modified xsi:type="dcterms:W3CDTF">2022-01-31T16:53:00Z</dcterms:modified>
</cp:coreProperties>
</file>