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9460AE" w14:paraId="3EA8EAE3" w14:textId="77777777" w:rsidTr="00D81F50">
        <w:tc>
          <w:tcPr>
            <w:tcW w:w="2122" w:type="dxa"/>
          </w:tcPr>
          <w:p w14:paraId="53A00310" w14:textId="77777777" w:rsidR="001203BA" w:rsidRPr="00B07AC9" w:rsidRDefault="00631F09" w:rsidP="000A565D">
            <w:pPr>
              <w:rPr>
                <w:b/>
                <w:sz w:val="32"/>
                <w:szCs w:val="32"/>
                <w:lang w:val="nl-BE"/>
              </w:rPr>
            </w:pPr>
            <w:r>
              <w:rPr>
                <w:b/>
                <w:sz w:val="32"/>
                <w:szCs w:val="32"/>
                <w:lang w:val="nl-BE"/>
              </w:rPr>
              <w:t>ARTIKEL 14</w:t>
            </w:r>
            <w:r w:rsidR="000174BB">
              <w:rPr>
                <w:b/>
                <w:sz w:val="32"/>
                <w:szCs w:val="32"/>
                <w:lang w:val="nl-BE"/>
              </w:rPr>
              <w:t>:17</w:t>
            </w:r>
          </w:p>
        </w:tc>
        <w:tc>
          <w:tcPr>
            <w:tcW w:w="11623" w:type="dxa"/>
            <w:gridSpan w:val="2"/>
            <w:shd w:val="clear" w:color="auto" w:fill="auto"/>
          </w:tcPr>
          <w:p w14:paraId="3CA26FD4" w14:textId="77777777" w:rsidR="001B29CB" w:rsidRPr="00392936" w:rsidRDefault="001B29CB" w:rsidP="00392936">
            <w:pPr>
              <w:jc w:val="center"/>
              <w:rPr>
                <w:rFonts w:ascii="Cambria" w:eastAsia="Calibri" w:hAnsi="Cambria" w:cs="Times New Roman"/>
                <w:b/>
                <w:bCs/>
                <w:iCs/>
                <w:color w:val="4F81BD"/>
                <w:sz w:val="32"/>
                <w:szCs w:val="26"/>
                <w:lang w:val="nl-BE" w:eastAsia="fr-FR"/>
              </w:rPr>
            </w:pPr>
          </w:p>
        </w:tc>
      </w:tr>
      <w:tr w:rsidR="001203BA" w:rsidRPr="00441E30" w14:paraId="7534EA04" w14:textId="77777777" w:rsidTr="00D81F50">
        <w:tc>
          <w:tcPr>
            <w:tcW w:w="2122" w:type="dxa"/>
          </w:tcPr>
          <w:p w14:paraId="7147DC41" w14:textId="77777777" w:rsidR="001203BA" w:rsidRPr="00B07AC9" w:rsidRDefault="001203BA" w:rsidP="000A565D">
            <w:pPr>
              <w:rPr>
                <w:b/>
                <w:sz w:val="32"/>
                <w:szCs w:val="32"/>
                <w:lang w:val="nl-BE"/>
              </w:rPr>
            </w:pPr>
          </w:p>
        </w:tc>
        <w:tc>
          <w:tcPr>
            <w:tcW w:w="11623" w:type="dxa"/>
            <w:gridSpan w:val="2"/>
            <w:shd w:val="clear" w:color="auto" w:fill="auto"/>
          </w:tcPr>
          <w:p w14:paraId="6CD9A8FD"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0174BB" w:rsidRPr="001F2F0A" w14:paraId="4DCF819D" w14:textId="77777777" w:rsidTr="00D81F50">
        <w:trPr>
          <w:trHeight w:val="803"/>
        </w:trPr>
        <w:tc>
          <w:tcPr>
            <w:tcW w:w="2122" w:type="dxa"/>
          </w:tcPr>
          <w:p w14:paraId="0A02A241" w14:textId="77777777" w:rsidR="000174BB" w:rsidRDefault="000174BB" w:rsidP="000A565D">
            <w:pPr>
              <w:spacing w:after="0" w:line="240" w:lineRule="auto"/>
              <w:rPr>
                <w:rFonts w:cs="Calibri"/>
                <w:lang w:val="nl-BE"/>
              </w:rPr>
            </w:pPr>
            <w:r>
              <w:rPr>
                <w:rFonts w:cs="Calibri"/>
                <w:lang w:val="nl-BE"/>
              </w:rPr>
              <w:t>WVV</w:t>
            </w:r>
          </w:p>
        </w:tc>
        <w:tc>
          <w:tcPr>
            <w:tcW w:w="5811" w:type="dxa"/>
            <w:shd w:val="clear" w:color="auto" w:fill="auto"/>
          </w:tcPr>
          <w:p w14:paraId="22174266" w14:textId="77777777" w:rsidR="000174BB" w:rsidRPr="00B73889" w:rsidRDefault="000174BB" w:rsidP="000174BB">
            <w:pPr>
              <w:spacing w:after="0" w:line="240" w:lineRule="auto"/>
              <w:jc w:val="both"/>
              <w:rPr>
                <w:rFonts w:cs="Calibri"/>
                <w:lang w:val="nl-BE"/>
              </w:rPr>
            </w:pPr>
            <w:r w:rsidRPr="0096074F">
              <w:rPr>
                <w:rFonts w:cs="Calibri"/>
                <w:lang w:val="nl-BE"/>
              </w:rPr>
              <w:t>De grensoverschrijdende omzetting is niet toegelaten zolang de om te zetten vennootschap is onderworpen aan een insolventieprocedure.</w:t>
            </w:r>
          </w:p>
        </w:tc>
        <w:tc>
          <w:tcPr>
            <w:tcW w:w="5812" w:type="dxa"/>
            <w:shd w:val="clear" w:color="auto" w:fill="auto"/>
          </w:tcPr>
          <w:p w14:paraId="715B1207" w14:textId="77777777" w:rsidR="000174BB" w:rsidRPr="00495E53" w:rsidRDefault="000174BB" w:rsidP="000174BB">
            <w:pPr>
              <w:spacing w:after="0" w:line="240" w:lineRule="auto"/>
              <w:jc w:val="both"/>
              <w:rPr>
                <w:rFonts w:cs="Calibri"/>
                <w:lang w:val="fr-FR"/>
              </w:rPr>
            </w:pPr>
            <w:r w:rsidRPr="0096074F">
              <w:rPr>
                <w:rFonts w:cs="Calibri"/>
                <w:lang w:val="fr-FR"/>
              </w:rPr>
              <w:t>La tr</w:t>
            </w:r>
            <w:r w:rsidR="00A8334F">
              <w:rPr>
                <w:rFonts w:cs="Calibri"/>
                <w:lang w:val="fr-FR"/>
              </w:rPr>
              <w:t>ansformation transfrontalière n'</w:t>
            </w:r>
            <w:r w:rsidRPr="0096074F">
              <w:rPr>
                <w:rFonts w:cs="Calibri"/>
                <w:lang w:val="fr-FR"/>
              </w:rPr>
              <w:t>est pas autorisée tant que la société à transformer est soumise à une procédure d'insolvabilité.</w:t>
            </w:r>
          </w:p>
        </w:tc>
      </w:tr>
      <w:tr w:rsidR="00A8334F" w:rsidRPr="001F2F0A" w14:paraId="01F44BC8" w14:textId="77777777" w:rsidTr="00D81F50">
        <w:trPr>
          <w:trHeight w:val="803"/>
        </w:trPr>
        <w:tc>
          <w:tcPr>
            <w:tcW w:w="2122" w:type="dxa"/>
          </w:tcPr>
          <w:p w14:paraId="2CAC539B" w14:textId="77777777" w:rsidR="00A8334F" w:rsidRDefault="00A8334F" w:rsidP="00E9206C">
            <w:pPr>
              <w:spacing w:after="0" w:line="240" w:lineRule="auto"/>
              <w:rPr>
                <w:rFonts w:cs="Calibri"/>
                <w:lang w:val="fr-FR"/>
              </w:rPr>
            </w:pPr>
            <w:proofErr w:type="spellStart"/>
            <w:r>
              <w:rPr>
                <w:rFonts w:cs="Calibri"/>
                <w:lang w:val="fr-FR"/>
              </w:rPr>
              <w:t>Ontwerp</w:t>
            </w:r>
            <w:proofErr w:type="spellEnd"/>
          </w:p>
        </w:tc>
        <w:tc>
          <w:tcPr>
            <w:tcW w:w="5811" w:type="dxa"/>
            <w:shd w:val="clear" w:color="auto" w:fill="auto"/>
          </w:tcPr>
          <w:p w14:paraId="6A10268A" w14:textId="77777777" w:rsidR="00A8334F" w:rsidRPr="000A565D" w:rsidRDefault="00A8334F" w:rsidP="00E9206C">
            <w:pPr>
              <w:spacing w:after="0" w:line="240" w:lineRule="auto"/>
              <w:jc w:val="both"/>
              <w:rPr>
                <w:rFonts w:cs="Calibri"/>
                <w:lang w:val="nl-BE"/>
              </w:rPr>
            </w:pPr>
            <w:r>
              <w:rPr>
                <w:rFonts w:cs="Calibri"/>
                <w:lang w:val="nl-BE"/>
              </w:rPr>
              <w:t xml:space="preserve">Art. 14:17. </w:t>
            </w:r>
            <w:r w:rsidRPr="000A565D">
              <w:rPr>
                <w:rFonts w:cs="Calibri"/>
                <w:lang w:val="nl-BE"/>
              </w:rPr>
              <w:t>De grensoverschrijdende omzetting is niet toegelaten zolang de om te zetten vennootschap is onderworpen aan een insolventieprocedure.</w:t>
            </w:r>
          </w:p>
        </w:tc>
        <w:tc>
          <w:tcPr>
            <w:tcW w:w="5812" w:type="dxa"/>
            <w:shd w:val="clear" w:color="auto" w:fill="auto"/>
          </w:tcPr>
          <w:p w14:paraId="08A3760B" w14:textId="77777777" w:rsidR="00A8334F" w:rsidRPr="000A565D" w:rsidRDefault="00A8334F" w:rsidP="00E9206C">
            <w:pPr>
              <w:spacing w:after="0" w:line="240" w:lineRule="auto"/>
              <w:jc w:val="both"/>
              <w:rPr>
                <w:rFonts w:cs="Calibri"/>
                <w:lang w:val="fr-FR"/>
              </w:rPr>
            </w:pPr>
            <w:r w:rsidRPr="001F2F0A">
              <w:rPr>
                <w:rFonts w:cs="Calibri"/>
                <w:lang w:val="fr-FR"/>
              </w:rPr>
              <w:t xml:space="preserve">Art. </w:t>
            </w:r>
            <w:proofErr w:type="gramStart"/>
            <w:r w:rsidRPr="001F2F0A">
              <w:rPr>
                <w:rFonts w:cs="Calibri"/>
                <w:lang w:val="fr-FR"/>
              </w:rPr>
              <w:t>14:</w:t>
            </w:r>
            <w:proofErr w:type="gramEnd"/>
            <w:r w:rsidRPr="001F2F0A">
              <w:rPr>
                <w:rFonts w:cs="Calibri"/>
                <w:lang w:val="fr-FR"/>
              </w:rPr>
              <w:t>17. La tr</w:t>
            </w:r>
            <w:r>
              <w:rPr>
                <w:rFonts w:cs="Calibri"/>
                <w:lang w:val="fr-FR"/>
              </w:rPr>
              <w:t>ansformation transfrontalière n'</w:t>
            </w:r>
            <w:r w:rsidRPr="001F2F0A">
              <w:rPr>
                <w:rFonts w:cs="Calibri"/>
                <w:lang w:val="fr-FR"/>
              </w:rPr>
              <w:t>est pas autorisée tant que la société à transform</w:t>
            </w:r>
            <w:r w:rsidRPr="000A565D">
              <w:rPr>
                <w:rFonts w:cs="Calibri"/>
                <w:lang w:val="fr-FR"/>
              </w:rPr>
              <w:t>er est soumise à une procédure d'insolvabilité.</w:t>
            </w:r>
          </w:p>
        </w:tc>
      </w:tr>
      <w:tr w:rsidR="00A8334F" w:rsidRPr="001F2F0A" w14:paraId="065DBCC8" w14:textId="77777777" w:rsidTr="00D81F50">
        <w:trPr>
          <w:trHeight w:val="842"/>
        </w:trPr>
        <w:tc>
          <w:tcPr>
            <w:tcW w:w="2122" w:type="dxa"/>
          </w:tcPr>
          <w:p w14:paraId="140BEB96" w14:textId="77777777" w:rsidR="00A8334F" w:rsidRPr="00513885" w:rsidRDefault="00A8334F" w:rsidP="00495E53">
            <w:pPr>
              <w:spacing w:after="0" w:line="240" w:lineRule="auto"/>
              <w:rPr>
                <w:rFonts w:cs="Calibri"/>
                <w:lang w:val="fr-FR"/>
              </w:rPr>
            </w:pPr>
            <w:proofErr w:type="spellStart"/>
            <w:r>
              <w:rPr>
                <w:rFonts w:cs="Calibri"/>
                <w:lang w:val="fr-FR"/>
              </w:rPr>
              <w:t>Voorontwerp</w:t>
            </w:r>
            <w:proofErr w:type="spellEnd"/>
          </w:p>
        </w:tc>
        <w:tc>
          <w:tcPr>
            <w:tcW w:w="5811" w:type="dxa"/>
            <w:shd w:val="clear" w:color="auto" w:fill="auto"/>
          </w:tcPr>
          <w:p w14:paraId="28598840" w14:textId="77777777" w:rsidR="00A8334F" w:rsidRPr="00513885" w:rsidRDefault="00A8334F" w:rsidP="000174BB">
            <w:pPr>
              <w:spacing w:after="0" w:line="240" w:lineRule="auto"/>
              <w:jc w:val="both"/>
              <w:rPr>
                <w:rFonts w:cs="Calibri"/>
                <w:lang w:val="nl-BE"/>
              </w:rPr>
            </w:pPr>
            <w:r>
              <w:rPr>
                <w:rFonts w:cs="Calibri"/>
                <w:lang w:val="nl-BE"/>
              </w:rPr>
              <w:t xml:space="preserve">Art. 14:17. </w:t>
            </w:r>
            <w:r w:rsidRPr="00513885">
              <w:rPr>
                <w:rFonts w:cs="Calibri"/>
                <w:lang w:val="nl-BE"/>
              </w:rPr>
              <w:t>De grensoverschrijdende omzetting is niet toegelaten zolang de om te zetten vennootschap is onderworpen aan een insolventieprocedure.</w:t>
            </w:r>
          </w:p>
        </w:tc>
        <w:tc>
          <w:tcPr>
            <w:tcW w:w="5812" w:type="dxa"/>
            <w:shd w:val="clear" w:color="auto" w:fill="auto"/>
          </w:tcPr>
          <w:p w14:paraId="0DCCD6EB" w14:textId="77777777" w:rsidR="00A8334F" w:rsidRPr="00513885" w:rsidRDefault="00A8334F" w:rsidP="000174BB">
            <w:pPr>
              <w:spacing w:after="0" w:line="240" w:lineRule="auto"/>
              <w:jc w:val="both"/>
              <w:rPr>
                <w:rFonts w:cs="Calibri"/>
                <w:lang w:val="fr-FR"/>
              </w:rPr>
            </w:pPr>
            <w:r w:rsidRPr="00A8334F">
              <w:rPr>
                <w:rFonts w:cs="Calibri"/>
                <w:lang w:val="en-US"/>
              </w:rPr>
              <w:t>Art. 14:17. La tr</w:t>
            </w:r>
            <w:r>
              <w:rPr>
                <w:rFonts w:cs="Calibri"/>
                <w:lang w:val="en-US"/>
              </w:rPr>
              <w:t xml:space="preserve">ansformation </w:t>
            </w:r>
            <w:proofErr w:type="spellStart"/>
            <w:r>
              <w:rPr>
                <w:rFonts w:cs="Calibri"/>
                <w:lang w:val="en-US"/>
              </w:rPr>
              <w:t>transfrontalière</w:t>
            </w:r>
            <w:proofErr w:type="spellEnd"/>
            <w:r>
              <w:rPr>
                <w:rFonts w:cs="Calibri"/>
                <w:lang w:val="en-US"/>
              </w:rPr>
              <w:t xml:space="preserve"> </w:t>
            </w:r>
            <w:proofErr w:type="spellStart"/>
            <w:r>
              <w:rPr>
                <w:rFonts w:cs="Calibri"/>
                <w:lang w:val="en-US"/>
              </w:rPr>
              <w:t>n'</w:t>
            </w:r>
            <w:bookmarkStart w:id="0" w:name="_GoBack"/>
            <w:bookmarkEnd w:id="0"/>
            <w:r w:rsidRPr="00A8334F">
              <w:rPr>
                <w:rFonts w:cs="Calibri"/>
                <w:lang w:val="en-US"/>
              </w:rPr>
              <w:t>est</w:t>
            </w:r>
            <w:proofErr w:type="spellEnd"/>
            <w:r w:rsidRPr="00A8334F">
              <w:rPr>
                <w:rFonts w:cs="Calibri"/>
                <w:lang w:val="en-US"/>
              </w:rPr>
              <w:t xml:space="preserve"> pas </w:t>
            </w:r>
            <w:proofErr w:type="spellStart"/>
            <w:r w:rsidRPr="00A8334F">
              <w:rPr>
                <w:rFonts w:cs="Calibri"/>
                <w:lang w:val="en-US"/>
              </w:rPr>
              <w:t>autorisée</w:t>
            </w:r>
            <w:proofErr w:type="spellEnd"/>
            <w:r w:rsidRPr="00A8334F">
              <w:rPr>
                <w:rFonts w:cs="Calibri"/>
                <w:lang w:val="en-US"/>
              </w:rPr>
              <w:t xml:space="preserve"> </w:t>
            </w:r>
            <w:proofErr w:type="spellStart"/>
            <w:r w:rsidRPr="00A8334F">
              <w:rPr>
                <w:rFonts w:cs="Calibri"/>
                <w:lang w:val="en-US"/>
              </w:rPr>
              <w:t>tant</w:t>
            </w:r>
            <w:proofErr w:type="spellEnd"/>
            <w:r w:rsidRPr="00A8334F">
              <w:rPr>
                <w:rFonts w:cs="Calibri"/>
                <w:lang w:val="en-US"/>
              </w:rPr>
              <w:t xml:space="preserve"> que la </w:t>
            </w:r>
            <w:proofErr w:type="spellStart"/>
            <w:r w:rsidRPr="00A8334F">
              <w:rPr>
                <w:rFonts w:cs="Calibri"/>
                <w:lang w:val="en-US"/>
              </w:rPr>
              <w:t>société</w:t>
            </w:r>
            <w:proofErr w:type="spellEnd"/>
            <w:r w:rsidRPr="00A8334F">
              <w:rPr>
                <w:rFonts w:cs="Calibri"/>
                <w:lang w:val="en-US"/>
              </w:rPr>
              <w:t xml:space="preserve"> à transform</w:t>
            </w:r>
            <w:r w:rsidRPr="00513885">
              <w:rPr>
                <w:rFonts w:cs="Calibri"/>
                <w:lang w:val="fr-FR"/>
              </w:rPr>
              <w:t>er est soumise à une procédure d'insolvabilité</w:t>
            </w:r>
            <w:r>
              <w:rPr>
                <w:rFonts w:cs="Calibri"/>
                <w:lang w:val="fr-FR"/>
              </w:rPr>
              <w:t>.</w:t>
            </w:r>
          </w:p>
        </w:tc>
      </w:tr>
      <w:tr w:rsidR="00A8334F" w:rsidRPr="001F2F0A" w14:paraId="0B132B06" w14:textId="77777777" w:rsidTr="00D81F50">
        <w:trPr>
          <w:trHeight w:val="987"/>
        </w:trPr>
        <w:tc>
          <w:tcPr>
            <w:tcW w:w="2122" w:type="dxa"/>
          </w:tcPr>
          <w:p w14:paraId="551FFC1A" w14:textId="77777777" w:rsidR="00A8334F" w:rsidRDefault="00A8334F" w:rsidP="00495E53">
            <w:pPr>
              <w:spacing w:after="0" w:line="240" w:lineRule="auto"/>
              <w:rPr>
                <w:rFonts w:cs="Calibri"/>
                <w:lang w:val="fr-FR"/>
              </w:rPr>
            </w:pPr>
            <w:proofErr w:type="spellStart"/>
            <w:r>
              <w:rPr>
                <w:rFonts w:cs="Calibri"/>
                <w:lang w:val="fr-FR"/>
              </w:rPr>
              <w:t>MvT</w:t>
            </w:r>
            <w:proofErr w:type="spellEnd"/>
          </w:p>
        </w:tc>
        <w:tc>
          <w:tcPr>
            <w:tcW w:w="5811" w:type="dxa"/>
            <w:shd w:val="clear" w:color="auto" w:fill="auto"/>
          </w:tcPr>
          <w:p w14:paraId="47175B2B" w14:textId="77777777" w:rsidR="00A8334F" w:rsidRPr="00394A2C" w:rsidRDefault="00A8334F" w:rsidP="00495E53">
            <w:pPr>
              <w:spacing w:after="0" w:line="240" w:lineRule="auto"/>
              <w:jc w:val="both"/>
              <w:rPr>
                <w:rFonts w:cs="Calibri"/>
                <w:u w:val="single"/>
                <w:lang w:val="nl-BE"/>
              </w:rPr>
            </w:pPr>
            <w:r w:rsidRPr="0096074F">
              <w:rPr>
                <w:rFonts w:cs="Calibri"/>
                <w:lang w:val="nl-BE"/>
              </w:rPr>
              <w:t xml:space="preserve">Vennootschappen kunnen zich niet grensoverschrijdend omzetten zolang zij het voorwerp uitmaken van een insolventieprocedure. </w:t>
            </w:r>
          </w:p>
          <w:p w14:paraId="661165C6" w14:textId="77777777" w:rsidR="00A8334F" w:rsidRDefault="00A8334F" w:rsidP="00495E53">
            <w:pPr>
              <w:spacing w:after="0" w:line="240" w:lineRule="auto"/>
              <w:jc w:val="both"/>
              <w:rPr>
                <w:rFonts w:cs="Calibri"/>
                <w:lang w:val="nl-BE"/>
              </w:rPr>
            </w:pPr>
          </w:p>
          <w:p w14:paraId="447A3F03" w14:textId="77777777" w:rsidR="00A8334F" w:rsidRPr="0096074F" w:rsidRDefault="00A8334F" w:rsidP="00495E53">
            <w:pPr>
              <w:spacing w:after="0" w:line="240" w:lineRule="auto"/>
              <w:jc w:val="both"/>
              <w:rPr>
                <w:rFonts w:cs="Calibri"/>
                <w:lang w:val="nl-BE"/>
              </w:rPr>
            </w:pPr>
            <w:r w:rsidRPr="0096074F">
              <w:rPr>
                <w:rFonts w:cs="Calibri"/>
                <w:lang w:val="nl-BE"/>
              </w:rPr>
              <w:t xml:space="preserve">Dit verbod heeft tot doel te vermijden dat vennootschappen in de loop van een insolventieprocedure hun rechtspositie (inclusief die van hun bestuursorgaan en vennoten of aandeelhouders) kunnen wijzigen door zich grensoverschrijdend om te zetten. Deze bekommernis geldt zowel bij emigratie als bij immigratie. </w:t>
            </w:r>
          </w:p>
          <w:p w14:paraId="20D02704" w14:textId="77777777" w:rsidR="00A8334F" w:rsidRDefault="00A8334F" w:rsidP="00495E53">
            <w:pPr>
              <w:spacing w:after="0" w:line="240" w:lineRule="auto"/>
              <w:jc w:val="both"/>
              <w:rPr>
                <w:rFonts w:cs="Calibri"/>
                <w:lang w:val="nl-BE"/>
              </w:rPr>
            </w:pPr>
          </w:p>
          <w:p w14:paraId="6C757E85" w14:textId="77777777" w:rsidR="00A8334F" w:rsidRPr="00495E53" w:rsidRDefault="00A8334F" w:rsidP="00495E53">
            <w:pPr>
              <w:spacing w:after="0" w:line="240" w:lineRule="auto"/>
              <w:jc w:val="both"/>
              <w:rPr>
                <w:rFonts w:cs="Calibri"/>
                <w:bCs/>
                <w:iCs/>
                <w:lang w:val="nl-BE"/>
              </w:rPr>
            </w:pPr>
            <w:r w:rsidRPr="0096074F">
              <w:rPr>
                <w:rFonts w:cs="Calibri"/>
                <w:bCs/>
                <w:iCs/>
                <w:lang w:val="nl-BE"/>
              </w:rPr>
              <w:t xml:space="preserve">De term ‘insolventieprocedure’ heeft een ruime reikwijdte: zij omvat alle binnen- en buitenlandse procedures gericht op het herstel of de afwikkeling van vennootschappen die zich in financiële moeilijkheden bevinden. </w:t>
            </w:r>
          </w:p>
        </w:tc>
        <w:tc>
          <w:tcPr>
            <w:tcW w:w="5812" w:type="dxa"/>
            <w:shd w:val="clear" w:color="auto" w:fill="auto"/>
          </w:tcPr>
          <w:p w14:paraId="7283ABC0" w14:textId="77777777" w:rsidR="00A8334F" w:rsidRPr="00394A2C" w:rsidRDefault="00A8334F" w:rsidP="00495E53">
            <w:pPr>
              <w:spacing w:after="0" w:line="240" w:lineRule="auto"/>
              <w:jc w:val="both"/>
              <w:rPr>
                <w:rFonts w:cs="Calibri"/>
                <w:u w:val="single"/>
                <w:lang w:val="fr-FR"/>
              </w:rPr>
            </w:pPr>
            <w:r w:rsidRPr="0096074F">
              <w:rPr>
                <w:rFonts w:cs="Calibri"/>
                <w:lang w:val="fr-BE"/>
              </w:rPr>
              <w:t xml:space="preserve">Les sociétés ne peuvent procéder à une transformation transfrontalière tant qu’elles sont soumises à une procédure d'insolvabilité. </w:t>
            </w:r>
          </w:p>
          <w:p w14:paraId="4060D345" w14:textId="77777777" w:rsidR="00A8334F" w:rsidRDefault="00A8334F" w:rsidP="00495E53">
            <w:pPr>
              <w:spacing w:after="0" w:line="240" w:lineRule="auto"/>
              <w:jc w:val="both"/>
              <w:rPr>
                <w:rFonts w:cs="Calibri"/>
                <w:lang w:val="fr-BE"/>
              </w:rPr>
            </w:pPr>
          </w:p>
          <w:p w14:paraId="5D95D4E8" w14:textId="77777777" w:rsidR="00A8334F" w:rsidRPr="0096074F" w:rsidRDefault="00A8334F" w:rsidP="00495E53">
            <w:pPr>
              <w:spacing w:after="0" w:line="240" w:lineRule="auto"/>
              <w:jc w:val="both"/>
              <w:rPr>
                <w:rFonts w:cs="Calibri"/>
                <w:lang w:val="fr-FR"/>
              </w:rPr>
            </w:pPr>
            <w:r w:rsidRPr="0096074F">
              <w:rPr>
                <w:rFonts w:cs="Calibri"/>
                <w:lang w:val="fr-BE"/>
              </w:rPr>
              <w:t xml:space="preserve">Cette interdiction vise à éviter qu’au cours d’une procédure d’insolvabilité, des sociétés puissent modifier leur situation juridique (ainsi que celle de leur organe d’administration et de leurs associés ou actionnaires) en procédant à une transformation transfrontalière. Cette préoccupation vaut tant pour l’émigration que pour l’immigration. </w:t>
            </w:r>
          </w:p>
          <w:p w14:paraId="5815B620" w14:textId="77777777" w:rsidR="00A8334F" w:rsidRDefault="00A8334F" w:rsidP="00495E53">
            <w:pPr>
              <w:spacing w:after="0" w:line="240" w:lineRule="auto"/>
              <w:jc w:val="both"/>
              <w:rPr>
                <w:rFonts w:cs="Calibri"/>
                <w:lang w:val="fr-BE"/>
              </w:rPr>
            </w:pPr>
          </w:p>
          <w:p w14:paraId="53F8CE67" w14:textId="77777777" w:rsidR="00A8334F" w:rsidRPr="00495E53" w:rsidRDefault="00A8334F" w:rsidP="00495E53">
            <w:pPr>
              <w:spacing w:after="0" w:line="240" w:lineRule="auto"/>
              <w:jc w:val="both"/>
              <w:rPr>
                <w:rFonts w:cs="Calibri"/>
                <w:bCs/>
                <w:iCs/>
                <w:lang w:val="fr-FR"/>
              </w:rPr>
            </w:pPr>
            <w:r w:rsidRPr="0096074F">
              <w:rPr>
                <w:rFonts w:cs="Calibri"/>
                <w:bCs/>
                <w:iCs/>
                <w:lang w:val="fr-FR"/>
              </w:rPr>
              <w:t xml:space="preserve">Le terme ‘procédure d'insolvabilité’ a une portée étendue ; il englobe toutes les procédures internes et étrangères axées sur le redressement ou la résolution de sociétés en difficultés financières. </w:t>
            </w:r>
          </w:p>
        </w:tc>
      </w:tr>
      <w:tr w:rsidR="00A8334F" w:rsidRPr="00394A2C" w14:paraId="266E3642" w14:textId="77777777" w:rsidTr="00D81F50">
        <w:trPr>
          <w:trHeight w:val="357"/>
        </w:trPr>
        <w:tc>
          <w:tcPr>
            <w:tcW w:w="2122" w:type="dxa"/>
          </w:tcPr>
          <w:p w14:paraId="79664457" w14:textId="77777777" w:rsidR="00A8334F" w:rsidRDefault="00A8334F" w:rsidP="00495E53">
            <w:pPr>
              <w:spacing w:after="0" w:line="240" w:lineRule="auto"/>
              <w:rPr>
                <w:rFonts w:cs="Calibri"/>
                <w:lang w:val="fr-FR"/>
              </w:rPr>
            </w:pPr>
            <w:proofErr w:type="spellStart"/>
            <w:r>
              <w:rPr>
                <w:rFonts w:cs="Calibri"/>
                <w:lang w:val="fr-FR"/>
              </w:rPr>
              <w:t>RvSt</w:t>
            </w:r>
            <w:proofErr w:type="spellEnd"/>
          </w:p>
        </w:tc>
        <w:tc>
          <w:tcPr>
            <w:tcW w:w="5811" w:type="dxa"/>
            <w:shd w:val="clear" w:color="auto" w:fill="auto"/>
          </w:tcPr>
          <w:p w14:paraId="6358C287" w14:textId="77777777" w:rsidR="00A8334F" w:rsidRPr="006D747B" w:rsidRDefault="00A8334F" w:rsidP="00495E53">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812" w:type="dxa"/>
            <w:shd w:val="clear" w:color="auto" w:fill="auto"/>
          </w:tcPr>
          <w:p w14:paraId="5F2B97DF" w14:textId="77777777" w:rsidR="00A8334F" w:rsidRPr="006C3212" w:rsidRDefault="00A8334F" w:rsidP="00495E53">
            <w:pPr>
              <w:spacing w:after="0" w:line="240" w:lineRule="auto"/>
              <w:jc w:val="both"/>
              <w:rPr>
                <w:rFonts w:cs="Calibri"/>
                <w:lang w:val="fr-FR"/>
              </w:rPr>
            </w:pPr>
            <w:r>
              <w:rPr>
                <w:rFonts w:cs="Calibri"/>
                <w:lang w:val="fr-FR"/>
              </w:rPr>
              <w:t>Pas de remarques.</w:t>
            </w:r>
          </w:p>
        </w:tc>
      </w:tr>
      <w:tr w:rsidR="00A8334F" w:rsidRPr="00394A2C" w14:paraId="65289101" w14:textId="77777777" w:rsidTr="00D81F50">
        <w:trPr>
          <w:trHeight w:val="415"/>
        </w:trPr>
        <w:tc>
          <w:tcPr>
            <w:tcW w:w="2122" w:type="dxa"/>
          </w:tcPr>
          <w:p w14:paraId="6D243932" w14:textId="77777777" w:rsidR="00A8334F" w:rsidRDefault="00A8334F" w:rsidP="00495E53">
            <w:pPr>
              <w:spacing w:after="0" w:line="240" w:lineRule="auto"/>
              <w:rPr>
                <w:rFonts w:cs="Calibri"/>
                <w:lang w:val="fr-FR"/>
              </w:rPr>
            </w:pPr>
            <w:proofErr w:type="spellStart"/>
            <w:r>
              <w:rPr>
                <w:rFonts w:cs="Calibri"/>
                <w:lang w:val="fr-FR"/>
              </w:rPr>
              <w:t>Amenemdent</w:t>
            </w:r>
            <w:proofErr w:type="spellEnd"/>
            <w:r>
              <w:rPr>
                <w:rFonts w:cs="Calibri"/>
                <w:lang w:val="fr-FR"/>
              </w:rPr>
              <w:t xml:space="preserve"> 360</w:t>
            </w:r>
          </w:p>
        </w:tc>
        <w:tc>
          <w:tcPr>
            <w:tcW w:w="5811" w:type="dxa"/>
            <w:shd w:val="clear" w:color="auto" w:fill="auto"/>
          </w:tcPr>
          <w:p w14:paraId="21B32E59" w14:textId="77777777" w:rsidR="00A8334F" w:rsidRDefault="00A8334F" w:rsidP="00495E53">
            <w:pPr>
              <w:spacing w:after="0" w:line="240" w:lineRule="auto"/>
              <w:jc w:val="both"/>
              <w:rPr>
                <w:rFonts w:cs="Calibri"/>
                <w:lang w:val="fr-FR"/>
              </w:rPr>
            </w:pPr>
            <w:r>
              <w:rPr>
                <w:rFonts w:cs="Calibri"/>
                <w:lang w:val="fr-FR"/>
              </w:rPr>
              <w:t xml:space="preserve">Niet </w:t>
            </w:r>
            <w:proofErr w:type="spellStart"/>
            <w:r>
              <w:rPr>
                <w:rFonts w:cs="Calibri"/>
                <w:lang w:val="fr-FR"/>
              </w:rPr>
              <w:t>aangenomen</w:t>
            </w:r>
            <w:proofErr w:type="spellEnd"/>
            <w:r>
              <w:rPr>
                <w:rFonts w:cs="Calibri"/>
                <w:lang w:val="fr-FR"/>
              </w:rPr>
              <w:t>.</w:t>
            </w:r>
          </w:p>
        </w:tc>
        <w:tc>
          <w:tcPr>
            <w:tcW w:w="5812" w:type="dxa"/>
            <w:shd w:val="clear" w:color="auto" w:fill="auto"/>
          </w:tcPr>
          <w:p w14:paraId="7205D77B" w14:textId="77777777" w:rsidR="00A8334F" w:rsidRDefault="00A8334F" w:rsidP="00495E53">
            <w:pPr>
              <w:spacing w:after="0" w:line="240" w:lineRule="auto"/>
              <w:jc w:val="both"/>
              <w:rPr>
                <w:rFonts w:cs="Calibri"/>
                <w:lang w:val="fr-FR"/>
              </w:rPr>
            </w:pPr>
            <w:r>
              <w:rPr>
                <w:rFonts w:cs="Calibri"/>
                <w:lang w:val="fr-FR"/>
              </w:rPr>
              <w:t>Non adopté.</w:t>
            </w:r>
          </w:p>
        </w:tc>
      </w:tr>
    </w:tbl>
    <w:p w14:paraId="604FAF00" w14:textId="77777777" w:rsidR="00A820D7" w:rsidRPr="000A565D" w:rsidRDefault="00A820D7" w:rsidP="00495E53">
      <w:pPr>
        <w:rPr>
          <w:lang w:val="fr-FR"/>
        </w:rPr>
      </w:pPr>
    </w:p>
    <w:sectPr w:rsidR="00A820D7" w:rsidRPr="000A565D"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B72"/>
    <w:rsid w:val="00021FCB"/>
    <w:rsid w:val="00025BD5"/>
    <w:rsid w:val="00036F85"/>
    <w:rsid w:val="000A565D"/>
    <w:rsid w:val="000B17B4"/>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81A11"/>
    <w:rsid w:val="00191BAC"/>
    <w:rsid w:val="00193578"/>
    <w:rsid w:val="001B29CB"/>
    <w:rsid w:val="001C1C75"/>
    <w:rsid w:val="001C36B7"/>
    <w:rsid w:val="001D27E0"/>
    <w:rsid w:val="001F2F0A"/>
    <w:rsid w:val="00214ADA"/>
    <w:rsid w:val="002337A0"/>
    <w:rsid w:val="00251BBF"/>
    <w:rsid w:val="00262FAA"/>
    <w:rsid w:val="0026584A"/>
    <w:rsid w:val="00274C37"/>
    <w:rsid w:val="00276531"/>
    <w:rsid w:val="0029665A"/>
    <w:rsid w:val="00297FF6"/>
    <w:rsid w:val="002A5831"/>
    <w:rsid w:val="002B3F2F"/>
    <w:rsid w:val="002D76A6"/>
    <w:rsid w:val="002E665B"/>
    <w:rsid w:val="002F7950"/>
    <w:rsid w:val="00300B84"/>
    <w:rsid w:val="00302A76"/>
    <w:rsid w:val="003564D8"/>
    <w:rsid w:val="00357D30"/>
    <w:rsid w:val="00367502"/>
    <w:rsid w:val="003831C0"/>
    <w:rsid w:val="00392936"/>
    <w:rsid w:val="00394A2C"/>
    <w:rsid w:val="003A1C6D"/>
    <w:rsid w:val="003A3D34"/>
    <w:rsid w:val="003A7991"/>
    <w:rsid w:val="003C38B1"/>
    <w:rsid w:val="003F24EE"/>
    <w:rsid w:val="003F6F60"/>
    <w:rsid w:val="00415C03"/>
    <w:rsid w:val="00423115"/>
    <w:rsid w:val="00441E30"/>
    <w:rsid w:val="004443F2"/>
    <w:rsid w:val="0047203B"/>
    <w:rsid w:val="00492278"/>
    <w:rsid w:val="00492FE9"/>
    <w:rsid w:val="00495E53"/>
    <w:rsid w:val="004A39E3"/>
    <w:rsid w:val="004C3052"/>
    <w:rsid w:val="004C63AD"/>
    <w:rsid w:val="00502CB1"/>
    <w:rsid w:val="005133BD"/>
    <w:rsid w:val="00513885"/>
    <w:rsid w:val="00513F84"/>
    <w:rsid w:val="00525185"/>
    <w:rsid w:val="005415E2"/>
    <w:rsid w:val="00552D57"/>
    <w:rsid w:val="00562DB1"/>
    <w:rsid w:val="005A3C17"/>
    <w:rsid w:val="005A7179"/>
    <w:rsid w:val="005B25E3"/>
    <w:rsid w:val="005B2F3D"/>
    <w:rsid w:val="005C7CE3"/>
    <w:rsid w:val="005D02C8"/>
    <w:rsid w:val="005D1201"/>
    <w:rsid w:val="005E7872"/>
    <w:rsid w:val="00621861"/>
    <w:rsid w:val="00631F09"/>
    <w:rsid w:val="0064095E"/>
    <w:rsid w:val="00645D75"/>
    <w:rsid w:val="00650083"/>
    <w:rsid w:val="00657805"/>
    <w:rsid w:val="0066155A"/>
    <w:rsid w:val="00686C06"/>
    <w:rsid w:val="006920C9"/>
    <w:rsid w:val="006A735D"/>
    <w:rsid w:val="006D501B"/>
    <w:rsid w:val="00706549"/>
    <w:rsid w:val="00710A28"/>
    <w:rsid w:val="00710C81"/>
    <w:rsid w:val="00733FA9"/>
    <w:rsid w:val="00736D86"/>
    <w:rsid w:val="00741F2C"/>
    <w:rsid w:val="007463B2"/>
    <w:rsid w:val="007532BF"/>
    <w:rsid w:val="007B17CA"/>
    <w:rsid w:val="007B581C"/>
    <w:rsid w:val="007D7A6B"/>
    <w:rsid w:val="00800A45"/>
    <w:rsid w:val="00817848"/>
    <w:rsid w:val="00833A2D"/>
    <w:rsid w:val="008423F9"/>
    <w:rsid w:val="00842D8E"/>
    <w:rsid w:val="00853C03"/>
    <w:rsid w:val="00871F22"/>
    <w:rsid w:val="00887B0C"/>
    <w:rsid w:val="008A17D9"/>
    <w:rsid w:val="008B2189"/>
    <w:rsid w:val="008D71F7"/>
    <w:rsid w:val="008E164C"/>
    <w:rsid w:val="008E7328"/>
    <w:rsid w:val="00905B7A"/>
    <w:rsid w:val="009172D4"/>
    <w:rsid w:val="00931894"/>
    <w:rsid w:val="00935E60"/>
    <w:rsid w:val="00943313"/>
    <w:rsid w:val="009460AE"/>
    <w:rsid w:val="009627E9"/>
    <w:rsid w:val="009A4260"/>
    <w:rsid w:val="009B3BE6"/>
    <w:rsid w:val="009D0B3E"/>
    <w:rsid w:val="009F648C"/>
    <w:rsid w:val="009F7906"/>
    <w:rsid w:val="00A0074A"/>
    <w:rsid w:val="00A01EFB"/>
    <w:rsid w:val="00A152BE"/>
    <w:rsid w:val="00A72BBC"/>
    <w:rsid w:val="00A7675D"/>
    <w:rsid w:val="00A820D7"/>
    <w:rsid w:val="00A8334F"/>
    <w:rsid w:val="00AA0CC7"/>
    <w:rsid w:val="00AA1A7C"/>
    <w:rsid w:val="00AA5A92"/>
    <w:rsid w:val="00AC1B18"/>
    <w:rsid w:val="00AC1E91"/>
    <w:rsid w:val="00AC2D5F"/>
    <w:rsid w:val="00AC6758"/>
    <w:rsid w:val="00B15F17"/>
    <w:rsid w:val="00B41CE6"/>
    <w:rsid w:val="00B43558"/>
    <w:rsid w:val="00B50606"/>
    <w:rsid w:val="00B61E27"/>
    <w:rsid w:val="00B6333A"/>
    <w:rsid w:val="00B779CF"/>
    <w:rsid w:val="00B97CC3"/>
    <w:rsid w:val="00BA1659"/>
    <w:rsid w:val="00BA26D2"/>
    <w:rsid w:val="00BB376A"/>
    <w:rsid w:val="00BE2349"/>
    <w:rsid w:val="00BF1861"/>
    <w:rsid w:val="00C01CC2"/>
    <w:rsid w:val="00C01CFA"/>
    <w:rsid w:val="00C12A40"/>
    <w:rsid w:val="00C162B3"/>
    <w:rsid w:val="00C1753D"/>
    <w:rsid w:val="00C80883"/>
    <w:rsid w:val="00C86467"/>
    <w:rsid w:val="00C86CC5"/>
    <w:rsid w:val="00C91A38"/>
    <w:rsid w:val="00CA1557"/>
    <w:rsid w:val="00CA5454"/>
    <w:rsid w:val="00CB210A"/>
    <w:rsid w:val="00CC6422"/>
    <w:rsid w:val="00D42D9B"/>
    <w:rsid w:val="00D46773"/>
    <w:rsid w:val="00D66D82"/>
    <w:rsid w:val="00D81F50"/>
    <w:rsid w:val="00D8405B"/>
    <w:rsid w:val="00D931FB"/>
    <w:rsid w:val="00D96002"/>
    <w:rsid w:val="00DB5C97"/>
    <w:rsid w:val="00E15CFE"/>
    <w:rsid w:val="00E21F8D"/>
    <w:rsid w:val="00E26DE4"/>
    <w:rsid w:val="00E511E0"/>
    <w:rsid w:val="00EA7FDC"/>
    <w:rsid w:val="00EB4929"/>
    <w:rsid w:val="00EC77EF"/>
    <w:rsid w:val="00ED31D7"/>
    <w:rsid w:val="00ED3B78"/>
    <w:rsid w:val="00EE44AC"/>
    <w:rsid w:val="00F03C83"/>
    <w:rsid w:val="00F234EA"/>
    <w:rsid w:val="00F26581"/>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690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1970</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2019-11-04T13:17:00Z</dcterms:created>
  <dcterms:modified xsi:type="dcterms:W3CDTF">2022-02-01T14:30:00Z</dcterms:modified>
</cp:coreProperties>
</file>