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701"/>
        <w:gridCol w:w="4110"/>
        <w:gridCol w:w="4678"/>
        <w:gridCol w:w="1134"/>
      </w:tblGrid>
      <w:tr w:rsidR="001203BA" w:rsidRPr="00135B38" w14:paraId="5088C586" w14:textId="77777777" w:rsidTr="00355C31">
        <w:tc>
          <w:tcPr>
            <w:tcW w:w="12611" w:type="dxa"/>
            <w:gridSpan w:val="4"/>
          </w:tcPr>
          <w:p w14:paraId="2D513DDB" w14:textId="32653148" w:rsidR="001203BA" w:rsidRPr="00B07AC9" w:rsidRDefault="00F4787E" w:rsidP="00083F5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fldChar w:fldCharType="begin"/>
            </w:r>
            <w:r>
              <w:rPr>
                <w:b/>
                <w:sz w:val="32"/>
                <w:szCs w:val="32"/>
                <w:lang w:val="nl-BE"/>
              </w:rPr>
              <w:instrText xml:space="preserve"> HYPERLINK  \l "_Amendement_50" </w:instrText>
            </w:r>
            <w:r>
              <w:rPr>
                <w:b/>
                <w:sz w:val="32"/>
                <w:szCs w:val="32"/>
                <w:lang w:val="nl-BE"/>
              </w:rPr>
            </w:r>
            <w:r>
              <w:rPr>
                <w:b/>
                <w:sz w:val="32"/>
                <w:szCs w:val="32"/>
                <w:lang w:val="nl-BE"/>
              </w:rPr>
              <w:fldChar w:fldCharType="separate"/>
            </w:r>
            <w:r w:rsidR="00355C31" w:rsidRPr="00F4787E">
              <w:rPr>
                <w:rStyle w:val="Hyperlink"/>
                <w:b/>
                <w:sz w:val="32"/>
                <w:szCs w:val="32"/>
                <w:lang w:val="nl-BE"/>
              </w:rPr>
              <w:t>TITEL 4. - Omzetting van een vereniging in een andere vorm van vereniging</w:t>
            </w:r>
            <w:r>
              <w:rPr>
                <w:b/>
                <w:sz w:val="32"/>
                <w:szCs w:val="32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BEBDEC" w14:textId="77777777" w:rsidR="001B29CB" w:rsidRPr="00C47A8C" w:rsidRDefault="001B29CB" w:rsidP="00083F52">
            <w:pPr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2ED85D46" w14:textId="77777777" w:rsidTr="008A7606">
        <w:tc>
          <w:tcPr>
            <w:tcW w:w="3823" w:type="dxa"/>
            <w:gridSpan w:val="2"/>
          </w:tcPr>
          <w:p w14:paraId="2A0E87C3" w14:textId="77777777" w:rsidR="001203BA" w:rsidRPr="00B07AC9" w:rsidRDefault="00C47A8C" w:rsidP="00083F5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14:46</w:t>
            </w:r>
          </w:p>
        </w:tc>
        <w:tc>
          <w:tcPr>
            <w:tcW w:w="9922" w:type="dxa"/>
            <w:gridSpan w:val="3"/>
            <w:shd w:val="clear" w:color="auto" w:fill="auto"/>
          </w:tcPr>
          <w:p w14:paraId="0A7B14C4" w14:textId="77777777" w:rsidR="001203BA" w:rsidRPr="007B17CA" w:rsidRDefault="001203BA" w:rsidP="00083F5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355C31" w:rsidRPr="00441E30" w14:paraId="7FC46ED7" w14:textId="77777777" w:rsidTr="008A7606">
        <w:tc>
          <w:tcPr>
            <w:tcW w:w="2122" w:type="dxa"/>
          </w:tcPr>
          <w:p w14:paraId="3D7F1781" w14:textId="77777777" w:rsidR="00355C31" w:rsidRDefault="00355C31" w:rsidP="00083F52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4FB577DE" w14:textId="77777777" w:rsidR="00355C31" w:rsidRPr="007B17CA" w:rsidRDefault="00355C31" w:rsidP="00083F5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D548A3" w:rsidRPr="00083F52" w14:paraId="7DC20A72" w14:textId="77777777" w:rsidTr="00083F52">
        <w:trPr>
          <w:trHeight w:val="698"/>
        </w:trPr>
        <w:tc>
          <w:tcPr>
            <w:tcW w:w="2122" w:type="dxa"/>
          </w:tcPr>
          <w:p w14:paraId="2DDD1D3A" w14:textId="77777777" w:rsidR="00D548A3" w:rsidRDefault="00D548A3" w:rsidP="00F4787E">
            <w:pPr>
              <w:pStyle w:val="Kop1"/>
              <w:rPr>
                <w:lang w:val="nl-BE"/>
              </w:rPr>
            </w:pPr>
            <w:bookmarkStart w:id="0" w:name="_Amendement_50"/>
            <w:bookmarkEnd w:id="0"/>
            <w:r>
              <w:rPr>
                <w:lang w:val="nl-BE"/>
              </w:rPr>
              <w:t>Amendement 50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16B6FBEF" w14:textId="77777777" w:rsidR="00D548A3" w:rsidRPr="00D548A3" w:rsidRDefault="00D548A3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D548A3">
              <w:rPr>
                <w:rFonts w:ascii="Calibri" w:eastAsia="Calibri" w:hAnsi="Calibri" w:cs="Calibri"/>
                <w:lang w:val="nl-BE"/>
              </w:rPr>
              <w:t xml:space="preserve">Na het voorgestelde artikel 14:45, in het voorgestelde boek 14, het </w:t>
            </w:r>
            <w:r>
              <w:rPr>
                <w:rFonts w:ascii="Calibri" w:eastAsia="Calibri" w:hAnsi="Calibri" w:cs="Calibri"/>
                <w:lang w:val="nl-BE"/>
              </w:rPr>
              <w:t xml:space="preserve">opschrift van titel 4 vervangen </w:t>
            </w:r>
            <w:r w:rsidRPr="00D548A3">
              <w:rPr>
                <w:rFonts w:ascii="Calibri" w:eastAsia="Calibri" w:hAnsi="Calibri" w:cs="Calibri"/>
                <w:lang w:val="nl-BE"/>
              </w:rPr>
              <w:t>als volgt:</w:t>
            </w:r>
          </w:p>
          <w:p w14:paraId="04EBCCB4" w14:textId="77777777" w:rsidR="00D548A3" w:rsidRPr="00D548A3" w:rsidRDefault="00D548A3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D548A3">
              <w:rPr>
                <w:rFonts w:ascii="Calibri" w:eastAsia="Calibri" w:hAnsi="Calibri" w:cs="Calibri"/>
                <w:lang w:val="nl-BE"/>
              </w:rPr>
              <w:t>“TITEL 4. Omzetting van verenigingen.”</w:t>
            </w:r>
          </w:p>
          <w:p w14:paraId="6518D6CD" w14:textId="77777777" w:rsidR="00D548A3" w:rsidRDefault="00D548A3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</w:p>
          <w:p w14:paraId="04F56645" w14:textId="77777777" w:rsidR="00D548A3" w:rsidRDefault="00D548A3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D548A3">
              <w:rPr>
                <w:rFonts w:ascii="Calibri" w:eastAsia="Calibri" w:hAnsi="Calibri" w:cs="Calibri"/>
                <w:lang w:val="nl-BE"/>
              </w:rPr>
              <w:t>VERANTWOORDING</w:t>
            </w:r>
          </w:p>
          <w:p w14:paraId="556118D7" w14:textId="77777777" w:rsidR="00083F52" w:rsidRPr="00D548A3" w:rsidRDefault="00083F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</w:p>
          <w:p w14:paraId="0902DDA8" w14:textId="77777777" w:rsidR="00D548A3" w:rsidRPr="00DD1AC9" w:rsidRDefault="00D548A3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D548A3">
              <w:rPr>
                <w:rFonts w:ascii="Calibri" w:eastAsia="Calibri" w:hAnsi="Calibri" w:cs="Calibri"/>
                <w:lang w:val="nl-BE"/>
              </w:rPr>
              <w:t>Onder de in het ontwerp voorgestelde regels wordt de</w:t>
            </w:r>
            <w:r w:rsidR="00083F52">
              <w:rPr>
                <w:rFonts w:ascii="Calibri" w:eastAsia="Calibri" w:hAnsi="Calibri" w:cs="Calibri"/>
                <w:lang w:val="nl-BE"/>
              </w:rPr>
              <w:t xml:space="preserve"> </w:t>
            </w:r>
            <w:r w:rsidRPr="00D548A3">
              <w:rPr>
                <w:rFonts w:ascii="Calibri" w:eastAsia="Calibri" w:hAnsi="Calibri" w:cs="Calibri"/>
                <w:lang w:val="nl-BE"/>
              </w:rPr>
              <w:t>grensoverschrijdende omzetting van vennootschappen gerege</w:t>
            </w:r>
            <w:r>
              <w:rPr>
                <w:rFonts w:ascii="Calibri" w:eastAsia="Calibri" w:hAnsi="Calibri" w:cs="Calibri"/>
                <w:lang w:val="nl-BE"/>
              </w:rPr>
              <w:t xml:space="preserve">ld (artikelen 14:15 e.v). </w:t>
            </w:r>
            <w:r w:rsidRPr="00D548A3">
              <w:rPr>
                <w:rFonts w:ascii="Calibri" w:eastAsia="Calibri" w:hAnsi="Calibri" w:cs="Calibri"/>
                <w:lang w:val="nl-BE"/>
              </w:rPr>
              <w:t>Niettemin kunnen ook verenigingen en stichtingen hun statutaire zetel grensoverschrijde</w:t>
            </w:r>
            <w:r>
              <w:rPr>
                <w:rFonts w:ascii="Calibri" w:eastAsia="Calibri" w:hAnsi="Calibri" w:cs="Calibri"/>
                <w:lang w:val="nl-BE"/>
              </w:rPr>
              <w:t>nd verpl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lang w:val="nl-BE"/>
              </w:rPr>
              <w:t xml:space="preserve">aatsen. In lijn met één </w:t>
            </w:r>
            <w:r w:rsidRPr="00D548A3">
              <w:rPr>
                <w:rFonts w:ascii="Calibri" w:eastAsia="Calibri" w:hAnsi="Calibri" w:cs="Calibri"/>
                <w:lang w:val="nl-BE"/>
              </w:rPr>
              <w:t>van de krachtlijnen van het wetboek om nieuwe rechtsregels</w:t>
            </w:r>
            <w:r w:rsidR="00083F52">
              <w:rPr>
                <w:rFonts w:ascii="Calibri" w:eastAsia="Calibri" w:hAnsi="Calibri" w:cs="Calibri"/>
                <w:lang w:val="nl-BE"/>
              </w:rPr>
              <w:t xml:space="preserve"> </w:t>
            </w:r>
            <w:r w:rsidRPr="00D548A3">
              <w:rPr>
                <w:rFonts w:ascii="Calibri" w:eastAsia="Calibri" w:hAnsi="Calibri" w:cs="Calibri"/>
                <w:lang w:val="nl-BE"/>
              </w:rPr>
              <w:t>aan te bieden om het hoofd te bieden aan steeds mobi</w:t>
            </w:r>
            <w:r>
              <w:rPr>
                <w:rFonts w:ascii="Calibri" w:eastAsia="Calibri" w:hAnsi="Calibri" w:cs="Calibri"/>
                <w:lang w:val="nl-BE"/>
              </w:rPr>
              <w:t xml:space="preserve">elere </w:t>
            </w:r>
            <w:r w:rsidRPr="00D548A3">
              <w:rPr>
                <w:rFonts w:ascii="Calibri" w:eastAsia="Calibri" w:hAnsi="Calibri" w:cs="Calibri"/>
                <w:lang w:val="nl-BE"/>
              </w:rPr>
              <w:t>rechtspersonen, voorz</w:t>
            </w:r>
            <w:r>
              <w:rPr>
                <w:rFonts w:ascii="Calibri" w:eastAsia="Calibri" w:hAnsi="Calibri" w:cs="Calibri"/>
                <w:lang w:val="nl-BE"/>
              </w:rPr>
              <w:t xml:space="preserve">ien de volgende amendementen in </w:t>
            </w:r>
            <w:r w:rsidRPr="00D548A3">
              <w:rPr>
                <w:rFonts w:ascii="Calibri" w:eastAsia="Calibri" w:hAnsi="Calibri" w:cs="Calibri"/>
                <w:lang w:val="nl-BE"/>
              </w:rPr>
              <w:t>een bijzondere regeling betr</w:t>
            </w:r>
            <w:r>
              <w:rPr>
                <w:rFonts w:ascii="Calibri" w:eastAsia="Calibri" w:hAnsi="Calibri" w:cs="Calibri"/>
                <w:lang w:val="nl-BE"/>
              </w:rPr>
              <w:t xml:space="preserve">effende de grensoverschrijdende </w:t>
            </w:r>
            <w:r w:rsidRPr="00D548A3">
              <w:rPr>
                <w:rFonts w:ascii="Calibri" w:eastAsia="Calibri" w:hAnsi="Calibri" w:cs="Calibri"/>
                <w:lang w:val="nl-BE"/>
              </w:rPr>
              <w:t>omzetting. Zodoende zo</w:t>
            </w:r>
            <w:r>
              <w:rPr>
                <w:rFonts w:ascii="Calibri" w:eastAsia="Calibri" w:hAnsi="Calibri" w:cs="Calibri"/>
                <w:lang w:val="nl-BE"/>
              </w:rPr>
              <w:t xml:space="preserve">u de aantrekkelijkheid voor een </w:t>
            </w:r>
            <w:r w:rsidRPr="00D548A3">
              <w:rPr>
                <w:rFonts w:ascii="Calibri" w:eastAsia="Calibri" w:hAnsi="Calibri" w:cs="Calibri"/>
                <w:lang w:val="nl-BE"/>
              </w:rPr>
              <w:t xml:space="preserve">buitenlandse entiteit om haar </w:t>
            </w:r>
            <w:r>
              <w:rPr>
                <w:rFonts w:ascii="Calibri" w:eastAsia="Calibri" w:hAnsi="Calibri" w:cs="Calibri"/>
                <w:lang w:val="nl-BE"/>
              </w:rPr>
              <w:t xml:space="preserve">statutaire zetel naar België te verhuizen worden vergroot. </w:t>
            </w:r>
            <w:r w:rsidRPr="00D548A3">
              <w:rPr>
                <w:rFonts w:ascii="Calibri" w:eastAsia="Calibri" w:hAnsi="Calibri" w:cs="Calibri"/>
                <w:lang w:val="nl-BE"/>
              </w:rPr>
              <w:t>De ontworpen regelin</w:t>
            </w:r>
            <w:r>
              <w:rPr>
                <w:rFonts w:ascii="Calibri" w:eastAsia="Calibri" w:hAnsi="Calibri" w:cs="Calibri"/>
                <w:lang w:val="nl-BE"/>
              </w:rPr>
              <w:t xml:space="preserve">g is in grote mate gebaseerd op </w:t>
            </w:r>
            <w:r w:rsidRPr="00D548A3">
              <w:rPr>
                <w:rFonts w:ascii="Calibri" w:eastAsia="Calibri" w:hAnsi="Calibri" w:cs="Calibri"/>
                <w:lang w:val="nl-BE"/>
              </w:rPr>
              <w:t>de procedure voor de gre</w:t>
            </w:r>
            <w:r>
              <w:rPr>
                <w:rFonts w:ascii="Calibri" w:eastAsia="Calibri" w:hAnsi="Calibri" w:cs="Calibri"/>
                <w:lang w:val="nl-BE"/>
              </w:rPr>
              <w:t xml:space="preserve">nsoverschrijdende omzetting van  </w:t>
            </w:r>
            <w:r w:rsidRPr="00D548A3">
              <w:rPr>
                <w:rFonts w:ascii="Calibri" w:eastAsia="Calibri" w:hAnsi="Calibri" w:cs="Calibri"/>
                <w:lang w:val="nl-BE"/>
              </w:rPr>
              <w:t>vennootschappen.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DFE1893" w14:textId="77777777" w:rsidR="00D548A3" w:rsidRPr="00D548A3" w:rsidRDefault="00D548A3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 w:rsidRPr="00D548A3">
              <w:rPr>
                <w:rFonts w:ascii="Calibri" w:eastAsia="Calibri" w:hAnsi="Calibri" w:cs="Calibri"/>
                <w:lang w:val="fr-BE"/>
              </w:rPr>
              <w:t>Après l’article 14:45 proposé, dans le livre 14 proposé, remplacer l’intitulé du titre 4 par ce qui suit:</w:t>
            </w:r>
          </w:p>
          <w:p w14:paraId="28018F21" w14:textId="77777777" w:rsidR="00D548A3" w:rsidRPr="00D548A3" w:rsidRDefault="00D548A3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 w:rsidRPr="00D548A3">
              <w:rPr>
                <w:rFonts w:ascii="Calibri" w:eastAsia="Calibri" w:hAnsi="Calibri" w:cs="Calibri"/>
                <w:lang w:val="fr-BE"/>
              </w:rPr>
              <w:t>“TITRE 4. Transformation des associations.”</w:t>
            </w:r>
          </w:p>
          <w:p w14:paraId="5EDCA2A7" w14:textId="77777777" w:rsidR="00D548A3" w:rsidRDefault="00D548A3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</w:p>
          <w:p w14:paraId="5158CD50" w14:textId="77777777" w:rsidR="00D548A3" w:rsidRDefault="00D548A3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 w:rsidRPr="00D548A3">
              <w:rPr>
                <w:rFonts w:ascii="Calibri" w:eastAsia="Calibri" w:hAnsi="Calibri" w:cs="Calibri"/>
                <w:lang w:val="fr-BE"/>
              </w:rPr>
              <w:t>JUSTIFICATION</w:t>
            </w:r>
          </w:p>
          <w:p w14:paraId="56C95E70" w14:textId="77777777" w:rsidR="00083F52" w:rsidRPr="00D548A3" w:rsidRDefault="00083F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</w:p>
          <w:p w14:paraId="0638C981" w14:textId="77777777" w:rsidR="00D548A3" w:rsidRPr="00D548A3" w:rsidRDefault="00D548A3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 w:rsidRPr="00D548A3">
              <w:rPr>
                <w:rFonts w:ascii="Calibri" w:eastAsia="Calibri" w:hAnsi="Calibri" w:cs="Calibri"/>
                <w:lang w:val="fr-BE"/>
              </w:rPr>
              <w:t>Les dispositions proposées dans le projet règlent la transformation transfrontalière des soci</w:t>
            </w:r>
            <w:r>
              <w:rPr>
                <w:rFonts w:ascii="Calibri" w:eastAsia="Calibri" w:hAnsi="Calibri" w:cs="Calibri"/>
                <w:lang w:val="fr-BE"/>
              </w:rPr>
              <w:t xml:space="preserve">étés (articles 14:15 et </w:t>
            </w:r>
            <w:proofErr w:type="spellStart"/>
            <w:r>
              <w:rPr>
                <w:rFonts w:ascii="Calibri" w:eastAsia="Calibri" w:hAnsi="Calibri" w:cs="Calibri"/>
                <w:lang w:val="fr-BE"/>
              </w:rPr>
              <w:t>suiv</w:t>
            </w:r>
            <w:proofErr w:type="spellEnd"/>
            <w:r>
              <w:rPr>
                <w:rFonts w:ascii="Calibri" w:eastAsia="Calibri" w:hAnsi="Calibri" w:cs="Calibri"/>
                <w:lang w:val="fr-BE"/>
              </w:rPr>
              <w:t xml:space="preserve">.). </w:t>
            </w:r>
            <w:r w:rsidRPr="00D548A3">
              <w:rPr>
                <w:rFonts w:ascii="Calibri" w:eastAsia="Calibri" w:hAnsi="Calibri" w:cs="Calibri"/>
                <w:lang w:val="fr-BE"/>
              </w:rPr>
              <w:t>Toutefois, les associations et les fondations peuvent également procéder au déplacement</w:t>
            </w:r>
            <w:r>
              <w:rPr>
                <w:rFonts w:ascii="Calibri" w:eastAsia="Calibri" w:hAnsi="Calibri" w:cs="Calibri"/>
                <w:lang w:val="fr-BE"/>
              </w:rPr>
              <w:t xml:space="preserve"> de leur siège statutaire. Dans </w:t>
            </w:r>
            <w:r w:rsidRPr="00D548A3">
              <w:rPr>
                <w:rFonts w:ascii="Calibri" w:eastAsia="Calibri" w:hAnsi="Calibri" w:cs="Calibri"/>
                <w:lang w:val="fr-BE"/>
              </w:rPr>
              <w:t>le prolongement d’une des lign</w:t>
            </w:r>
            <w:r>
              <w:rPr>
                <w:rFonts w:ascii="Calibri" w:eastAsia="Calibri" w:hAnsi="Calibri" w:cs="Calibri"/>
                <w:lang w:val="fr-BE"/>
              </w:rPr>
              <w:t xml:space="preserve">es directrices du code visant à </w:t>
            </w:r>
            <w:r w:rsidRPr="00D548A3">
              <w:rPr>
                <w:rFonts w:ascii="Calibri" w:eastAsia="Calibri" w:hAnsi="Calibri" w:cs="Calibri"/>
                <w:lang w:val="fr-BE"/>
              </w:rPr>
              <w:t>offrir de nouvelles règles de</w:t>
            </w:r>
            <w:r>
              <w:rPr>
                <w:rFonts w:ascii="Calibri" w:eastAsia="Calibri" w:hAnsi="Calibri" w:cs="Calibri"/>
                <w:lang w:val="fr-BE"/>
              </w:rPr>
              <w:t xml:space="preserve"> droit répondant aux besoins de </w:t>
            </w:r>
            <w:r w:rsidRPr="00D548A3">
              <w:rPr>
                <w:rFonts w:ascii="Calibri" w:eastAsia="Calibri" w:hAnsi="Calibri" w:cs="Calibri"/>
                <w:lang w:val="fr-BE"/>
              </w:rPr>
              <w:t>personnes morales toujour</w:t>
            </w:r>
            <w:r>
              <w:rPr>
                <w:rFonts w:ascii="Calibri" w:eastAsia="Calibri" w:hAnsi="Calibri" w:cs="Calibri"/>
                <w:lang w:val="fr-BE"/>
              </w:rPr>
              <w:t xml:space="preserve">s plus mobiles, les amendements </w:t>
            </w:r>
            <w:r w:rsidRPr="00D548A3">
              <w:rPr>
                <w:rFonts w:ascii="Calibri" w:eastAsia="Calibri" w:hAnsi="Calibri" w:cs="Calibri"/>
                <w:lang w:val="fr-BE"/>
              </w:rPr>
              <w:t>suivants prévoient une réglementation particulière aux transferts transfrontaliers du siège statutaire des associations et</w:t>
            </w:r>
          </w:p>
          <w:p w14:paraId="4B971308" w14:textId="77777777" w:rsidR="00D548A3" w:rsidRPr="00DD1AC9" w:rsidRDefault="00D548A3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 w:rsidRPr="00D548A3">
              <w:rPr>
                <w:rFonts w:ascii="Calibri" w:eastAsia="Calibri" w:hAnsi="Calibri" w:cs="Calibri"/>
                <w:lang w:val="fr-BE"/>
              </w:rPr>
              <w:t>fondations. Ce régime rendra p</w:t>
            </w:r>
            <w:r>
              <w:rPr>
                <w:rFonts w:ascii="Calibri" w:eastAsia="Calibri" w:hAnsi="Calibri" w:cs="Calibri"/>
                <w:lang w:val="fr-BE"/>
              </w:rPr>
              <w:t xml:space="preserve">lus attractif le déplacement en </w:t>
            </w:r>
            <w:r w:rsidRPr="00D548A3">
              <w:rPr>
                <w:rFonts w:ascii="Calibri" w:eastAsia="Calibri" w:hAnsi="Calibri" w:cs="Calibri"/>
                <w:lang w:val="fr-BE"/>
              </w:rPr>
              <w:t>Belgique du siège sta</w:t>
            </w:r>
            <w:r>
              <w:rPr>
                <w:rFonts w:ascii="Calibri" w:eastAsia="Calibri" w:hAnsi="Calibri" w:cs="Calibri"/>
                <w:lang w:val="fr-BE"/>
              </w:rPr>
              <w:t xml:space="preserve">tutaire des entités étrangères. </w:t>
            </w:r>
            <w:r w:rsidRPr="00D548A3">
              <w:rPr>
                <w:rFonts w:ascii="Calibri" w:eastAsia="Calibri" w:hAnsi="Calibri" w:cs="Calibri"/>
                <w:lang w:val="fr-BE"/>
              </w:rPr>
              <w:t>La réglementation en projet repose en majeure p</w:t>
            </w:r>
            <w:r>
              <w:rPr>
                <w:rFonts w:ascii="Calibri" w:eastAsia="Calibri" w:hAnsi="Calibri" w:cs="Calibri"/>
                <w:lang w:val="fr-BE"/>
              </w:rPr>
              <w:t xml:space="preserve">artie sur </w:t>
            </w:r>
            <w:r w:rsidRPr="00D548A3">
              <w:rPr>
                <w:rFonts w:ascii="Calibri" w:eastAsia="Calibri" w:hAnsi="Calibri" w:cs="Calibri"/>
                <w:lang w:val="fr-BE"/>
              </w:rPr>
              <w:t>la procédure de transformation transfrontalière des sociétés.</w:t>
            </w:r>
          </w:p>
        </w:tc>
      </w:tr>
      <w:tr w:rsidR="00D548A3" w:rsidRPr="00083F52" w14:paraId="365AC458" w14:textId="77777777" w:rsidTr="00083F52">
        <w:trPr>
          <w:trHeight w:val="698"/>
        </w:trPr>
        <w:tc>
          <w:tcPr>
            <w:tcW w:w="2122" w:type="dxa"/>
          </w:tcPr>
          <w:p w14:paraId="1817B0E0" w14:textId="77777777" w:rsidR="00D548A3" w:rsidRDefault="00D548A3" w:rsidP="00083F52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Amendement 51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FE945C8" w14:textId="77777777" w:rsidR="00767452" w:rsidRPr="00767452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767452">
              <w:rPr>
                <w:rFonts w:ascii="Calibri" w:eastAsia="Calibri" w:hAnsi="Calibri" w:cs="Calibri"/>
                <w:lang w:val="nl-BE"/>
              </w:rPr>
              <w:t xml:space="preserve">In het voorgestelde </w:t>
            </w:r>
            <w:r>
              <w:rPr>
                <w:rFonts w:ascii="Calibri" w:eastAsia="Calibri" w:hAnsi="Calibri" w:cs="Calibri"/>
                <w:lang w:val="nl-BE"/>
              </w:rPr>
              <w:t xml:space="preserve">boek 14, titel 4, een hoofdstuk </w:t>
            </w:r>
            <w:r w:rsidRPr="00767452">
              <w:rPr>
                <w:rFonts w:ascii="Calibri" w:eastAsia="Calibri" w:hAnsi="Calibri" w:cs="Calibri"/>
                <w:lang w:val="nl-BE"/>
              </w:rPr>
              <w:t>1 invoegen met als o</w:t>
            </w:r>
            <w:r>
              <w:rPr>
                <w:rFonts w:ascii="Calibri" w:eastAsia="Calibri" w:hAnsi="Calibri" w:cs="Calibri"/>
                <w:lang w:val="nl-BE"/>
              </w:rPr>
              <w:t xml:space="preserve">pschrift “Nationale omzetting”, </w:t>
            </w:r>
            <w:r w:rsidRPr="00767452">
              <w:rPr>
                <w:rFonts w:ascii="Calibri" w:eastAsia="Calibri" w:hAnsi="Calibri" w:cs="Calibri"/>
                <w:lang w:val="nl-BE"/>
              </w:rPr>
              <w:t>dat de artikelen 14:46 tot 14:50 bevat.</w:t>
            </w:r>
          </w:p>
          <w:p w14:paraId="132703A4" w14:textId="77777777" w:rsidR="00767452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</w:p>
          <w:p w14:paraId="5AC37954" w14:textId="77777777" w:rsidR="00767452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767452">
              <w:rPr>
                <w:rFonts w:ascii="Calibri" w:eastAsia="Calibri" w:hAnsi="Calibri" w:cs="Calibri"/>
                <w:lang w:val="nl-BE"/>
              </w:rPr>
              <w:t>VERANTWOORDING</w:t>
            </w:r>
          </w:p>
          <w:p w14:paraId="181261B0" w14:textId="77777777" w:rsidR="00083F52" w:rsidRPr="00767452" w:rsidRDefault="00083F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</w:p>
          <w:p w14:paraId="143A4C12" w14:textId="77777777" w:rsidR="00767452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767452">
              <w:rPr>
                <w:rFonts w:ascii="Calibri" w:eastAsia="Calibri" w:hAnsi="Calibri" w:cs="Calibri"/>
                <w:lang w:val="nl-BE"/>
              </w:rPr>
              <w:lastRenderedPageBreak/>
              <w:t>Onder de in het ontwerp voorgestelde regels wordt de</w:t>
            </w:r>
            <w:r w:rsidR="00083F52">
              <w:rPr>
                <w:rFonts w:ascii="Calibri" w:eastAsia="Calibri" w:hAnsi="Calibri" w:cs="Calibri"/>
                <w:lang w:val="nl-BE"/>
              </w:rPr>
              <w:t xml:space="preserve"> </w:t>
            </w:r>
            <w:r w:rsidRPr="00767452">
              <w:rPr>
                <w:rFonts w:ascii="Calibri" w:eastAsia="Calibri" w:hAnsi="Calibri" w:cs="Calibri"/>
                <w:lang w:val="nl-BE"/>
              </w:rPr>
              <w:t xml:space="preserve">grensoverschrijdende omzetting van vennootschappen </w:t>
            </w:r>
            <w:r>
              <w:rPr>
                <w:rFonts w:ascii="Calibri" w:eastAsia="Calibri" w:hAnsi="Calibri" w:cs="Calibri"/>
                <w:lang w:val="nl-BE"/>
              </w:rPr>
              <w:t xml:space="preserve">geregeld (artikelen 14:15 e.v). </w:t>
            </w:r>
            <w:r w:rsidRPr="00767452">
              <w:rPr>
                <w:rFonts w:ascii="Calibri" w:eastAsia="Calibri" w:hAnsi="Calibri" w:cs="Calibri"/>
                <w:lang w:val="nl-BE"/>
              </w:rPr>
              <w:t>Niettemin kunnen ook verenigingen en stichtingen hun statutaire zetel grensoverschrijde</w:t>
            </w:r>
            <w:r>
              <w:rPr>
                <w:rFonts w:ascii="Calibri" w:eastAsia="Calibri" w:hAnsi="Calibri" w:cs="Calibri"/>
                <w:lang w:val="nl-BE"/>
              </w:rPr>
              <w:t xml:space="preserve">nd verplaatsen. In lijn met één </w:t>
            </w:r>
            <w:r w:rsidRPr="00767452">
              <w:rPr>
                <w:rFonts w:ascii="Calibri" w:eastAsia="Calibri" w:hAnsi="Calibri" w:cs="Calibri"/>
                <w:lang w:val="nl-BE"/>
              </w:rPr>
              <w:t>van de krachtlijnen van het</w:t>
            </w:r>
            <w:r>
              <w:rPr>
                <w:rFonts w:ascii="Calibri" w:eastAsia="Calibri" w:hAnsi="Calibri" w:cs="Calibri"/>
                <w:lang w:val="nl-BE"/>
              </w:rPr>
              <w:t xml:space="preserve"> wetboek om nieuwe rechtsregels </w:t>
            </w:r>
            <w:r w:rsidRPr="00767452">
              <w:rPr>
                <w:rFonts w:ascii="Calibri" w:eastAsia="Calibri" w:hAnsi="Calibri" w:cs="Calibri"/>
                <w:lang w:val="nl-BE"/>
              </w:rPr>
              <w:t>aan te bieden om het hoofd</w:t>
            </w:r>
            <w:r>
              <w:rPr>
                <w:rFonts w:ascii="Calibri" w:eastAsia="Calibri" w:hAnsi="Calibri" w:cs="Calibri"/>
                <w:lang w:val="nl-BE"/>
              </w:rPr>
              <w:t xml:space="preserve"> te bieden aan steeds mobielere </w:t>
            </w:r>
            <w:r w:rsidRPr="00767452">
              <w:rPr>
                <w:rFonts w:ascii="Calibri" w:eastAsia="Calibri" w:hAnsi="Calibri" w:cs="Calibri"/>
                <w:lang w:val="nl-BE"/>
              </w:rPr>
              <w:t>rechtspersonen, voorz</w:t>
            </w:r>
            <w:r>
              <w:rPr>
                <w:rFonts w:ascii="Calibri" w:eastAsia="Calibri" w:hAnsi="Calibri" w:cs="Calibri"/>
                <w:lang w:val="nl-BE"/>
              </w:rPr>
              <w:t xml:space="preserve">ien de volgende amendementen in </w:t>
            </w:r>
            <w:r w:rsidRPr="00767452">
              <w:rPr>
                <w:rFonts w:ascii="Calibri" w:eastAsia="Calibri" w:hAnsi="Calibri" w:cs="Calibri"/>
                <w:lang w:val="nl-BE"/>
              </w:rPr>
              <w:t>een bijzondere regeling betr</w:t>
            </w:r>
            <w:r>
              <w:rPr>
                <w:rFonts w:ascii="Calibri" w:eastAsia="Calibri" w:hAnsi="Calibri" w:cs="Calibri"/>
                <w:lang w:val="nl-BE"/>
              </w:rPr>
              <w:t xml:space="preserve">effende de grensoverschrijdende </w:t>
            </w:r>
            <w:r w:rsidRPr="00767452">
              <w:rPr>
                <w:rFonts w:ascii="Calibri" w:eastAsia="Calibri" w:hAnsi="Calibri" w:cs="Calibri"/>
                <w:lang w:val="nl-BE"/>
              </w:rPr>
              <w:t>omzetting. Zodoende zo</w:t>
            </w:r>
            <w:r>
              <w:rPr>
                <w:rFonts w:ascii="Calibri" w:eastAsia="Calibri" w:hAnsi="Calibri" w:cs="Calibri"/>
                <w:lang w:val="nl-BE"/>
              </w:rPr>
              <w:t xml:space="preserve">u de aantrekkelijkheid voor een </w:t>
            </w:r>
            <w:r w:rsidRPr="00767452">
              <w:rPr>
                <w:rFonts w:ascii="Calibri" w:eastAsia="Calibri" w:hAnsi="Calibri" w:cs="Calibri"/>
                <w:lang w:val="nl-BE"/>
              </w:rPr>
              <w:t xml:space="preserve">buitenlandse entiteit om haar </w:t>
            </w:r>
            <w:r>
              <w:rPr>
                <w:rFonts w:ascii="Calibri" w:eastAsia="Calibri" w:hAnsi="Calibri" w:cs="Calibri"/>
                <w:lang w:val="nl-BE"/>
              </w:rPr>
              <w:t xml:space="preserve">statutaire zetel naar België te </w:t>
            </w:r>
            <w:r w:rsidRPr="00767452">
              <w:rPr>
                <w:rFonts w:ascii="Calibri" w:eastAsia="Calibri" w:hAnsi="Calibri" w:cs="Calibri"/>
                <w:lang w:val="nl-BE"/>
              </w:rPr>
              <w:t>verhuizen worden vergroot.</w:t>
            </w:r>
          </w:p>
          <w:p w14:paraId="1B850BAF" w14:textId="77777777" w:rsidR="00767452" w:rsidRPr="00767452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</w:p>
          <w:p w14:paraId="5A1DF471" w14:textId="77777777" w:rsidR="00767452" w:rsidRPr="00767452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767452">
              <w:rPr>
                <w:rFonts w:ascii="Calibri" w:eastAsia="Calibri" w:hAnsi="Calibri" w:cs="Calibri"/>
                <w:lang w:val="nl-BE"/>
              </w:rPr>
              <w:t>De ontworpen regelin</w:t>
            </w:r>
            <w:r>
              <w:rPr>
                <w:rFonts w:ascii="Calibri" w:eastAsia="Calibri" w:hAnsi="Calibri" w:cs="Calibri"/>
                <w:lang w:val="nl-BE"/>
              </w:rPr>
              <w:t xml:space="preserve">g is in grote mate gebaseerd op </w:t>
            </w:r>
            <w:r w:rsidRPr="00767452">
              <w:rPr>
                <w:rFonts w:ascii="Calibri" w:eastAsia="Calibri" w:hAnsi="Calibri" w:cs="Calibri"/>
                <w:lang w:val="nl-BE"/>
              </w:rPr>
              <w:t>de procedure voor de grensoverschrijdende omzetting van</w:t>
            </w:r>
          </w:p>
          <w:p w14:paraId="4A3771E9" w14:textId="77777777" w:rsidR="00D548A3" w:rsidRPr="00DD1AC9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767452">
              <w:rPr>
                <w:rFonts w:ascii="Calibri" w:eastAsia="Calibri" w:hAnsi="Calibri" w:cs="Calibri"/>
                <w:lang w:val="nl-BE"/>
              </w:rPr>
              <w:t>vennootschappen.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C19CFD6" w14:textId="77777777" w:rsidR="00767452" w:rsidRPr="00767452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 w:rsidRPr="00767452">
              <w:rPr>
                <w:rFonts w:ascii="Calibri" w:eastAsia="Calibri" w:hAnsi="Calibri" w:cs="Calibri"/>
                <w:lang w:val="fr-BE"/>
              </w:rPr>
              <w:lastRenderedPageBreak/>
              <w:t>Dans le livre 14, t</w:t>
            </w:r>
            <w:r>
              <w:rPr>
                <w:rFonts w:ascii="Calibri" w:eastAsia="Calibri" w:hAnsi="Calibri" w:cs="Calibri"/>
                <w:lang w:val="fr-BE"/>
              </w:rPr>
              <w:t>itre 4, insérer un chapitre 1</w:t>
            </w:r>
            <w:r w:rsidRPr="00767452">
              <w:rPr>
                <w:rFonts w:ascii="Calibri" w:eastAsia="Calibri" w:hAnsi="Calibri" w:cs="Calibri"/>
                <w:vertAlign w:val="superscript"/>
                <w:lang w:val="fr-BE"/>
              </w:rPr>
              <w:t>er</w:t>
            </w:r>
            <w:r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767452">
              <w:rPr>
                <w:rFonts w:ascii="Calibri" w:eastAsia="Calibri" w:hAnsi="Calibri" w:cs="Calibri"/>
                <w:lang w:val="fr-BE"/>
              </w:rPr>
              <w:t>avec l’intitulé “Trans</w:t>
            </w:r>
            <w:r>
              <w:rPr>
                <w:rFonts w:ascii="Calibri" w:eastAsia="Calibri" w:hAnsi="Calibri" w:cs="Calibri"/>
                <w:lang w:val="fr-BE"/>
              </w:rPr>
              <w:t xml:space="preserve">formation nationale”, contenant </w:t>
            </w:r>
            <w:r w:rsidRPr="00767452">
              <w:rPr>
                <w:rFonts w:ascii="Calibri" w:eastAsia="Calibri" w:hAnsi="Calibri" w:cs="Calibri"/>
                <w:lang w:val="fr-BE"/>
              </w:rPr>
              <w:t>les articles 14:46 à 14:50.</w:t>
            </w:r>
          </w:p>
          <w:p w14:paraId="15471691" w14:textId="77777777" w:rsidR="00767452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</w:p>
          <w:p w14:paraId="633979A3" w14:textId="77777777" w:rsidR="00767452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 w:rsidRPr="00767452">
              <w:rPr>
                <w:rFonts w:ascii="Calibri" w:eastAsia="Calibri" w:hAnsi="Calibri" w:cs="Calibri"/>
                <w:lang w:val="fr-BE"/>
              </w:rPr>
              <w:t>JUSTIFICATION</w:t>
            </w:r>
          </w:p>
          <w:p w14:paraId="2EFC4E90" w14:textId="77777777" w:rsidR="00083F52" w:rsidRDefault="00083F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</w:p>
          <w:p w14:paraId="205EB6D1" w14:textId="77777777" w:rsidR="0007770A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 w:rsidRPr="00767452">
              <w:rPr>
                <w:rFonts w:ascii="Calibri" w:eastAsia="Calibri" w:hAnsi="Calibri" w:cs="Calibri"/>
                <w:lang w:val="fr-BE"/>
              </w:rPr>
              <w:lastRenderedPageBreak/>
              <w:t xml:space="preserve">Les dispositions proposées dans le projet règlent la transformation transfrontalière des sociétés (articles 14:15 et </w:t>
            </w:r>
            <w:proofErr w:type="spellStart"/>
            <w:r w:rsidRPr="00767452">
              <w:rPr>
                <w:rFonts w:ascii="Calibri" w:eastAsia="Calibri" w:hAnsi="Calibri" w:cs="Calibri"/>
                <w:lang w:val="fr-BE"/>
              </w:rPr>
              <w:t>suiv</w:t>
            </w:r>
            <w:proofErr w:type="spellEnd"/>
            <w:r w:rsidRPr="00767452">
              <w:rPr>
                <w:rFonts w:ascii="Calibri" w:eastAsia="Calibri" w:hAnsi="Calibri" w:cs="Calibri"/>
                <w:lang w:val="fr-BE"/>
              </w:rPr>
              <w:t>.).</w:t>
            </w:r>
            <w:r w:rsidR="00083F52">
              <w:rPr>
                <w:rFonts w:ascii="Calibri" w:eastAsia="Calibri" w:hAnsi="Calibri" w:cs="Calibri"/>
                <w:lang w:val="fr-BE"/>
              </w:rPr>
              <w:t xml:space="preserve"> </w:t>
            </w:r>
            <w:r w:rsidRPr="00767452">
              <w:rPr>
                <w:rFonts w:ascii="Calibri" w:eastAsia="Calibri" w:hAnsi="Calibri" w:cs="Calibri"/>
                <w:lang w:val="fr-BE"/>
              </w:rPr>
              <w:t>Toutefois, les associations et les fondations peuvent également procéder au déplacement</w:t>
            </w:r>
            <w:r>
              <w:rPr>
                <w:rFonts w:ascii="Calibri" w:eastAsia="Calibri" w:hAnsi="Calibri" w:cs="Calibri"/>
                <w:lang w:val="fr-BE"/>
              </w:rPr>
              <w:t xml:space="preserve"> de leur siège statutaire. Dans </w:t>
            </w:r>
            <w:r w:rsidRPr="00767452">
              <w:rPr>
                <w:rFonts w:ascii="Calibri" w:eastAsia="Calibri" w:hAnsi="Calibri" w:cs="Calibri"/>
                <w:lang w:val="fr-BE"/>
              </w:rPr>
              <w:t>le prolongement d’une des lign</w:t>
            </w:r>
            <w:r>
              <w:rPr>
                <w:rFonts w:ascii="Calibri" w:eastAsia="Calibri" w:hAnsi="Calibri" w:cs="Calibri"/>
                <w:lang w:val="fr-BE"/>
              </w:rPr>
              <w:t xml:space="preserve">es directrices du code visant à offrir </w:t>
            </w:r>
            <w:r w:rsidRPr="00767452">
              <w:rPr>
                <w:rFonts w:ascii="Calibri" w:eastAsia="Calibri" w:hAnsi="Calibri" w:cs="Calibri"/>
                <w:lang w:val="fr-BE"/>
              </w:rPr>
              <w:t>de nouvelles règles de droit répondant au</w:t>
            </w:r>
            <w:r>
              <w:rPr>
                <w:rFonts w:ascii="Calibri" w:eastAsia="Calibri" w:hAnsi="Calibri" w:cs="Calibri"/>
                <w:lang w:val="fr-BE"/>
              </w:rPr>
              <w:t xml:space="preserve">x besoins de </w:t>
            </w:r>
            <w:r w:rsidRPr="00767452">
              <w:rPr>
                <w:rFonts w:ascii="Calibri" w:eastAsia="Calibri" w:hAnsi="Calibri" w:cs="Calibri"/>
                <w:lang w:val="fr-BE"/>
              </w:rPr>
              <w:t>personnes morales toujour</w:t>
            </w:r>
            <w:r>
              <w:rPr>
                <w:rFonts w:ascii="Calibri" w:eastAsia="Calibri" w:hAnsi="Calibri" w:cs="Calibri"/>
                <w:lang w:val="fr-BE"/>
              </w:rPr>
              <w:t xml:space="preserve">s plus mobiles, les amendements </w:t>
            </w:r>
            <w:r w:rsidRPr="00767452">
              <w:rPr>
                <w:rFonts w:ascii="Calibri" w:eastAsia="Calibri" w:hAnsi="Calibri" w:cs="Calibri"/>
                <w:lang w:val="fr-BE"/>
              </w:rPr>
              <w:t>suivants prévoient une réglementation particulière aux transferts transfrontaliers du siège</w:t>
            </w:r>
            <w:r>
              <w:rPr>
                <w:rFonts w:ascii="Calibri" w:eastAsia="Calibri" w:hAnsi="Calibri" w:cs="Calibri"/>
                <w:lang w:val="fr-BE"/>
              </w:rPr>
              <w:t xml:space="preserve"> statutaire des associations et </w:t>
            </w:r>
            <w:r w:rsidRPr="00767452">
              <w:rPr>
                <w:rFonts w:ascii="Calibri" w:eastAsia="Calibri" w:hAnsi="Calibri" w:cs="Calibri"/>
                <w:lang w:val="fr-BE"/>
              </w:rPr>
              <w:t>fondations. Ce régime rendra p</w:t>
            </w:r>
            <w:r>
              <w:rPr>
                <w:rFonts w:ascii="Calibri" w:eastAsia="Calibri" w:hAnsi="Calibri" w:cs="Calibri"/>
                <w:lang w:val="fr-BE"/>
              </w:rPr>
              <w:t xml:space="preserve">lus attractif le déplacement en </w:t>
            </w:r>
            <w:r w:rsidRPr="00767452">
              <w:rPr>
                <w:rFonts w:ascii="Calibri" w:eastAsia="Calibri" w:hAnsi="Calibri" w:cs="Calibri"/>
                <w:lang w:val="fr-BE"/>
              </w:rPr>
              <w:t>Belgique du siège sta</w:t>
            </w:r>
            <w:r>
              <w:rPr>
                <w:rFonts w:ascii="Calibri" w:eastAsia="Calibri" w:hAnsi="Calibri" w:cs="Calibri"/>
                <w:lang w:val="fr-BE"/>
              </w:rPr>
              <w:t xml:space="preserve">tutaire des entités étrangères. </w:t>
            </w:r>
          </w:p>
          <w:p w14:paraId="6C9834DB" w14:textId="77777777" w:rsidR="0007770A" w:rsidRDefault="0007770A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</w:p>
          <w:p w14:paraId="2630B9F5" w14:textId="77777777" w:rsidR="00D548A3" w:rsidRPr="00DD1AC9" w:rsidRDefault="00767452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 w:rsidRPr="00767452">
              <w:rPr>
                <w:rFonts w:ascii="Calibri" w:eastAsia="Calibri" w:hAnsi="Calibri" w:cs="Calibri"/>
                <w:lang w:val="fr-BE"/>
              </w:rPr>
              <w:t>La réglementation en proj</w:t>
            </w:r>
            <w:r>
              <w:rPr>
                <w:rFonts w:ascii="Calibri" w:eastAsia="Calibri" w:hAnsi="Calibri" w:cs="Calibri"/>
                <w:lang w:val="fr-BE"/>
              </w:rPr>
              <w:t xml:space="preserve">et repose en majeure partie sur </w:t>
            </w:r>
            <w:r w:rsidRPr="00767452">
              <w:rPr>
                <w:rFonts w:ascii="Calibri" w:eastAsia="Calibri" w:hAnsi="Calibri" w:cs="Calibri"/>
                <w:lang w:val="fr-BE"/>
              </w:rPr>
              <w:t>la procédure de transformation transfrontalière des sociétés.</w:t>
            </w:r>
          </w:p>
        </w:tc>
      </w:tr>
      <w:tr w:rsidR="00C47A8C" w:rsidRPr="006C4ABA" w14:paraId="4CBE71E6" w14:textId="77777777" w:rsidTr="00083F52">
        <w:trPr>
          <w:trHeight w:val="1598"/>
        </w:trPr>
        <w:tc>
          <w:tcPr>
            <w:tcW w:w="2122" w:type="dxa"/>
          </w:tcPr>
          <w:p w14:paraId="532B43BA" w14:textId="77777777" w:rsidR="00C47A8C" w:rsidRDefault="00C47A8C" w:rsidP="00083F52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WVV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DD215A8" w14:textId="77777777" w:rsidR="00C47A8C" w:rsidRPr="00C47A8C" w:rsidRDefault="00C47A8C" w:rsidP="00083F5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D1AC9">
              <w:rPr>
                <w:rFonts w:ascii="Calibri" w:eastAsia="Calibri" w:hAnsi="Calibri" w:cs="Calibri"/>
                <w:lang w:val="nl-BE"/>
              </w:rPr>
              <w:t>Een VZW kan worden omgezet in een IVZW.</w:t>
            </w:r>
            <w:r>
              <w:rPr>
                <w:rFonts w:ascii="Calibri" w:eastAsia="Calibri" w:hAnsi="Calibri" w:cs="Calibri"/>
                <w:lang w:val="nl-BE"/>
              </w:rPr>
              <w:t xml:space="preserve"> </w:t>
            </w:r>
            <w:r w:rsidRPr="00DD1AC9">
              <w:rPr>
                <w:rFonts w:ascii="Calibri" w:eastAsia="Calibri" w:hAnsi="Calibri" w:cs="Calibri"/>
                <w:lang w:val="nl-BE"/>
              </w:rPr>
              <w:t>Een IVZW kan worden omgezet in een VZW.</w:t>
            </w:r>
          </w:p>
          <w:p w14:paraId="3F9594C4" w14:textId="77777777" w:rsidR="00C47A8C" w:rsidRDefault="00C47A8C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</w:p>
          <w:p w14:paraId="6878E8A9" w14:textId="77777777" w:rsidR="00C47A8C" w:rsidRPr="00DD1AC9" w:rsidRDefault="00C47A8C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DD1AC9">
              <w:rPr>
                <w:rFonts w:ascii="Calibri" w:eastAsia="Calibri" w:hAnsi="Calibri" w:cs="Calibri"/>
                <w:lang w:val="nl-BE"/>
              </w:rPr>
              <w:t>Die omzetting laat de rechtspersoonlijkheid van de vereniging die in een andere vorm blijft voortbestaan, onverlet.</w:t>
            </w:r>
          </w:p>
          <w:p w14:paraId="018283D9" w14:textId="77777777" w:rsidR="00C47A8C" w:rsidRPr="00DD1AC9" w:rsidRDefault="00C47A8C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708D741" w14:textId="77777777" w:rsidR="00C47A8C" w:rsidRPr="00C47A8C" w:rsidRDefault="00C47A8C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DD1AC9">
              <w:rPr>
                <w:rFonts w:ascii="Calibri" w:eastAsia="Calibri" w:hAnsi="Calibri" w:cs="Calibri"/>
                <w:lang w:val="fr-BE"/>
              </w:rPr>
              <w:t>Une ASBL peut se transformer en AISBL. Une AISBL peut se transformer en ASBL.</w:t>
            </w:r>
          </w:p>
          <w:p w14:paraId="79368DA9" w14:textId="77777777" w:rsidR="00C47A8C" w:rsidRDefault="00C47A8C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</w:p>
          <w:p w14:paraId="3CE588D0" w14:textId="008AF921" w:rsidR="00C47A8C" w:rsidRPr="00DD1AC9" w:rsidRDefault="006C4ABA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>
              <w:rPr>
                <w:rFonts w:ascii="Calibri" w:eastAsia="Calibri" w:hAnsi="Calibri" w:cs="Calibri"/>
                <w:lang w:val="fr-BE"/>
              </w:rPr>
              <w:t>Cette transformation n'</w:t>
            </w:r>
            <w:r w:rsidR="00C47A8C" w:rsidRPr="00DD1AC9">
              <w:rPr>
                <w:rFonts w:ascii="Calibri" w:eastAsia="Calibri" w:hAnsi="Calibri" w:cs="Calibri"/>
                <w:lang w:val="fr-BE"/>
              </w:rPr>
              <w:t>entraîne aucun changement dans</w:t>
            </w:r>
            <w:r>
              <w:rPr>
                <w:rFonts w:ascii="Calibri" w:eastAsia="Calibri" w:hAnsi="Calibri" w:cs="Calibri"/>
                <w:lang w:val="fr-BE"/>
              </w:rPr>
              <w:t xml:space="preserve"> la personnalité juridique de l'</w:t>
            </w:r>
            <w:r w:rsidR="00C47A8C" w:rsidRPr="00DD1AC9">
              <w:rPr>
                <w:rFonts w:ascii="Calibri" w:eastAsia="Calibri" w:hAnsi="Calibri" w:cs="Calibri"/>
                <w:lang w:val="fr-BE"/>
              </w:rPr>
              <w:t>association qui subsiste sous une autre forme.</w:t>
            </w:r>
          </w:p>
        </w:tc>
      </w:tr>
      <w:tr w:rsidR="00135B38" w:rsidRPr="00135B38" w14:paraId="55D874E6" w14:textId="77777777" w:rsidTr="00083F52">
        <w:trPr>
          <w:trHeight w:val="1598"/>
        </w:trPr>
        <w:tc>
          <w:tcPr>
            <w:tcW w:w="2122" w:type="dxa"/>
          </w:tcPr>
          <w:p w14:paraId="41245255" w14:textId="77777777" w:rsidR="00135B38" w:rsidRDefault="00135B38" w:rsidP="00E920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29774F30" w14:textId="77777777" w:rsidR="00135B38" w:rsidRPr="00355C31" w:rsidRDefault="00135B38" w:rsidP="00E9206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>
              <w:rPr>
                <w:rFonts w:ascii="Calibri" w:eastAsia="Calibri" w:hAnsi="Calibri" w:cs="Calibri"/>
                <w:lang w:val="nl-BE"/>
              </w:rPr>
              <w:t xml:space="preserve">Art. 14:46. </w:t>
            </w:r>
            <w:r w:rsidRPr="00355C31">
              <w:rPr>
                <w:rFonts w:ascii="Calibri" w:eastAsia="Calibri" w:hAnsi="Calibri" w:cs="Calibri"/>
                <w:lang w:val="nl-BE"/>
              </w:rPr>
              <w:t xml:space="preserve">Een VZW kan worden omgezet in een IVZW. Een IVZW kan worden omgezet in een VZW. </w:t>
            </w:r>
          </w:p>
          <w:p w14:paraId="6125A2C7" w14:textId="77777777" w:rsidR="00135B38" w:rsidRDefault="00135B38" w:rsidP="00E9206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355C31">
              <w:rPr>
                <w:rFonts w:ascii="Calibri" w:eastAsia="Calibri" w:hAnsi="Calibri" w:cs="Calibri"/>
                <w:lang w:val="nl-BE"/>
              </w:rPr>
              <w:t xml:space="preserve">  </w:t>
            </w:r>
          </w:p>
          <w:p w14:paraId="7BE28AED" w14:textId="77777777" w:rsidR="00135B38" w:rsidRPr="00355C31" w:rsidRDefault="00135B38" w:rsidP="00E9206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 w:rsidRPr="00355C31">
              <w:rPr>
                <w:rFonts w:ascii="Calibri" w:eastAsia="Calibri" w:hAnsi="Calibri" w:cs="Calibri"/>
                <w:lang w:val="nl-BE"/>
              </w:rPr>
              <w:t>Die omzetting laat de rechtspersoonlijkheid van de vereniging die in een andere vorm blijft voortbestaan, onverlet.</w:t>
            </w:r>
          </w:p>
          <w:p w14:paraId="3CF88FBF" w14:textId="77777777" w:rsidR="00135B38" w:rsidRPr="00355C31" w:rsidRDefault="00135B38" w:rsidP="00E9206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6AF70B9" w14:textId="77777777" w:rsidR="00135B38" w:rsidRPr="00355C31" w:rsidRDefault="00135B38" w:rsidP="00E9206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083F52">
              <w:rPr>
                <w:rFonts w:ascii="Calibri" w:eastAsia="Calibri" w:hAnsi="Calibri" w:cs="Calibri"/>
                <w:lang w:val="fr-FR"/>
              </w:rPr>
              <w:t xml:space="preserve">Art. </w:t>
            </w:r>
            <w:proofErr w:type="gramStart"/>
            <w:r w:rsidRPr="00083F52">
              <w:rPr>
                <w:rFonts w:ascii="Calibri" w:eastAsia="Calibri" w:hAnsi="Calibri" w:cs="Calibri"/>
                <w:lang w:val="fr-FR"/>
              </w:rPr>
              <w:t>14:</w:t>
            </w:r>
            <w:proofErr w:type="gramEnd"/>
            <w:r w:rsidRPr="00083F52">
              <w:rPr>
                <w:rFonts w:ascii="Calibri" w:eastAsia="Calibri" w:hAnsi="Calibri" w:cs="Calibri"/>
                <w:lang w:val="fr-FR"/>
              </w:rPr>
              <w:t xml:space="preserve">46. Une ASBL peut se transformer en AISBL. </w:t>
            </w:r>
            <w:r w:rsidRPr="00355C31">
              <w:rPr>
                <w:rFonts w:ascii="Calibri" w:eastAsia="Calibri" w:hAnsi="Calibri" w:cs="Calibri"/>
                <w:lang w:val="fr-FR"/>
              </w:rPr>
              <w:t xml:space="preserve">Une AISBL peut se transformer en ASBL. </w:t>
            </w:r>
          </w:p>
          <w:p w14:paraId="338436FC" w14:textId="77777777" w:rsidR="00135B38" w:rsidRDefault="00135B38" w:rsidP="00E9206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355C31">
              <w:rPr>
                <w:rFonts w:ascii="Calibri" w:eastAsia="Calibri" w:hAnsi="Calibri" w:cs="Calibri"/>
                <w:lang w:val="fr-FR"/>
              </w:rPr>
              <w:t xml:space="preserve">  </w:t>
            </w:r>
          </w:p>
          <w:p w14:paraId="723E29DA" w14:textId="6B3D39D5" w:rsidR="00135B38" w:rsidRPr="00355C31" w:rsidRDefault="006C4ABA" w:rsidP="00E9206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Cette transformation n'</w:t>
            </w:r>
            <w:r w:rsidR="00135B38" w:rsidRPr="00355C31">
              <w:rPr>
                <w:rFonts w:ascii="Calibri" w:eastAsia="Calibri" w:hAnsi="Calibri" w:cs="Calibri"/>
                <w:lang w:val="fr-FR"/>
              </w:rPr>
              <w:t>entraîne aucun changement dans</w:t>
            </w:r>
            <w:r>
              <w:rPr>
                <w:rFonts w:ascii="Calibri" w:eastAsia="Calibri" w:hAnsi="Calibri" w:cs="Calibri"/>
                <w:lang w:val="fr-FR"/>
              </w:rPr>
              <w:t xml:space="preserve"> la personnalité juridique de l'</w:t>
            </w:r>
            <w:r w:rsidR="00135B38" w:rsidRPr="00355C31">
              <w:rPr>
                <w:rFonts w:ascii="Calibri" w:eastAsia="Calibri" w:hAnsi="Calibri" w:cs="Calibri"/>
                <w:lang w:val="fr-FR"/>
              </w:rPr>
              <w:t>association qui subsiste sous une autre forme.</w:t>
            </w:r>
          </w:p>
        </w:tc>
      </w:tr>
      <w:tr w:rsidR="00135B38" w:rsidRPr="00186896" w14:paraId="276C3B4B" w14:textId="77777777" w:rsidTr="00083F52">
        <w:trPr>
          <w:trHeight w:val="442"/>
        </w:trPr>
        <w:tc>
          <w:tcPr>
            <w:tcW w:w="2122" w:type="dxa"/>
          </w:tcPr>
          <w:p w14:paraId="6C097A30" w14:textId="77777777" w:rsidR="00135B38" w:rsidRPr="00186896" w:rsidRDefault="00135B38" w:rsidP="00083F52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42A16D16" w14:textId="77777777" w:rsidR="00135B38" w:rsidRPr="00186896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Geen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5E2C354" w14:textId="77777777" w:rsidR="00135B38" w:rsidRPr="00DD1AC9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>
              <w:rPr>
                <w:rFonts w:ascii="Calibri" w:eastAsia="Calibri" w:hAnsi="Calibri" w:cs="Calibri"/>
                <w:lang w:val="fr-BE"/>
              </w:rPr>
              <w:t>Pas d’article.</w:t>
            </w:r>
          </w:p>
        </w:tc>
      </w:tr>
      <w:tr w:rsidR="00135B38" w:rsidRPr="00083F52" w14:paraId="26FBA1D6" w14:textId="77777777" w:rsidTr="00083F52">
        <w:trPr>
          <w:trHeight w:val="2120"/>
        </w:trPr>
        <w:tc>
          <w:tcPr>
            <w:tcW w:w="2122" w:type="dxa"/>
          </w:tcPr>
          <w:p w14:paraId="7E2B748C" w14:textId="77777777" w:rsidR="00135B38" w:rsidRDefault="00135B38" w:rsidP="00083F52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MvT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642329ED" w14:textId="77777777" w:rsidR="00135B38" w:rsidRPr="009D0A69" w:rsidRDefault="00135B38" w:rsidP="00083F52">
            <w:pPr>
              <w:spacing w:after="0" w:line="240" w:lineRule="auto"/>
              <w:jc w:val="both"/>
              <w:rPr>
                <w:lang w:val="nl-BE"/>
              </w:rPr>
            </w:pPr>
            <w:r w:rsidRPr="00DD1AC9">
              <w:rPr>
                <w:rFonts w:ascii="Calibri" w:eastAsia="Calibri" w:hAnsi="Calibri" w:cs="Times New Roman"/>
                <w:u w:val="single"/>
                <w:lang w:val="nl-BE"/>
              </w:rPr>
              <w:t>Artikelen 14:46 – 14:50.</w:t>
            </w:r>
          </w:p>
          <w:p w14:paraId="340C47BC" w14:textId="77777777" w:rsidR="00135B38" w:rsidRPr="00DD1AC9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nl-BE"/>
              </w:rPr>
            </w:pPr>
            <w:r w:rsidRPr="00DD1AC9">
              <w:rPr>
                <w:rFonts w:ascii="Calibri" w:eastAsia="Calibri" w:hAnsi="Calibri" w:cs="Times New Roman"/>
                <w:lang w:val="nl-BE"/>
              </w:rPr>
              <w:t>Het is opportuun gebleken om een VZW de mogelijkheid te bieden zich om te vormen tot een IVZW en vice versa.</w:t>
            </w:r>
          </w:p>
          <w:p w14:paraId="5628BA95" w14:textId="77777777" w:rsidR="00135B38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nl-BE"/>
              </w:rPr>
            </w:pPr>
          </w:p>
          <w:p w14:paraId="738AC450" w14:textId="77777777" w:rsidR="00135B38" w:rsidRPr="00DD1AC9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nl-BE"/>
              </w:rPr>
            </w:pPr>
            <w:r w:rsidRPr="00DD1AC9">
              <w:rPr>
                <w:rFonts w:ascii="Calibri" w:eastAsia="Calibri" w:hAnsi="Calibri" w:cs="Times New Roman"/>
                <w:lang w:val="nl-BE"/>
              </w:rPr>
              <w:t>De procedure is gebaseerd op de procedure voor de omzetting van een VZW in een CV erkend als SO.</w:t>
            </w:r>
          </w:p>
          <w:p w14:paraId="2D9A1744" w14:textId="77777777" w:rsidR="00135B38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nl-BE"/>
              </w:rPr>
            </w:pPr>
          </w:p>
          <w:p w14:paraId="0B7B5C41" w14:textId="77777777" w:rsidR="00135B38" w:rsidRPr="00DD1AC9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nl-BE"/>
              </w:rPr>
            </w:pPr>
            <w:r w:rsidRPr="00DD1AC9">
              <w:rPr>
                <w:rFonts w:ascii="Calibri" w:eastAsia="Calibri" w:hAnsi="Calibri" w:cs="Times New Roman"/>
                <w:lang w:val="nl-BE"/>
              </w:rPr>
              <w:t>Ze is echter aanzienlijk vereenvoudigd.</w:t>
            </w:r>
          </w:p>
          <w:p w14:paraId="168EE735" w14:textId="77777777" w:rsidR="00135B38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nl-BE"/>
              </w:rPr>
            </w:pPr>
          </w:p>
          <w:p w14:paraId="03489B93" w14:textId="77777777" w:rsidR="00135B38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nl-BE"/>
              </w:rPr>
            </w:pPr>
            <w:r w:rsidRPr="00DD1AC9">
              <w:rPr>
                <w:rFonts w:ascii="Calibri" w:eastAsia="Calibri" w:hAnsi="Calibri" w:cs="Times New Roman"/>
                <w:lang w:val="nl-BE"/>
              </w:rPr>
              <w:t>In de artikelen 14:47 tot en met 14:49 worden dan ook hoofdzakelijk de artikelen 14:38 tot en met 14:39 overgenomen terwijl artikel 14:50 op artikel 14:45 is gebaseerd.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384F62D" w14:textId="77777777" w:rsidR="00135B38" w:rsidRPr="00083F52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u w:val="single"/>
                <w:lang w:val="fr-FR"/>
              </w:rPr>
            </w:pPr>
            <w:r w:rsidRPr="00083F52">
              <w:rPr>
                <w:rFonts w:ascii="Calibri" w:eastAsia="Calibri" w:hAnsi="Calibri" w:cs="Calibri"/>
                <w:u w:val="single"/>
                <w:lang w:val="fr-FR"/>
              </w:rPr>
              <w:t xml:space="preserve">Articles </w:t>
            </w:r>
            <w:proofErr w:type="gramStart"/>
            <w:r w:rsidRPr="00083F52">
              <w:rPr>
                <w:rFonts w:ascii="Calibri" w:eastAsia="Calibri" w:hAnsi="Calibri" w:cs="Calibri"/>
                <w:u w:val="single"/>
                <w:lang w:val="fr-FR"/>
              </w:rPr>
              <w:t>14:</w:t>
            </w:r>
            <w:proofErr w:type="gramEnd"/>
            <w:r w:rsidRPr="00083F52">
              <w:rPr>
                <w:rFonts w:ascii="Calibri" w:eastAsia="Calibri" w:hAnsi="Calibri" w:cs="Calibri"/>
                <w:u w:val="single"/>
                <w:lang w:val="fr-FR"/>
              </w:rPr>
              <w:t>46 – 14:50.</w:t>
            </w:r>
          </w:p>
          <w:p w14:paraId="6EE4D06C" w14:textId="77777777" w:rsidR="00135B38" w:rsidRPr="008A7606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8A7606">
              <w:rPr>
                <w:rFonts w:ascii="Calibri" w:eastAsia="Calibri" w:hAnsi="Calibri" w:cs="Calibri"/>
                <w:lang w:val="fr-FR"/>
              </w:rPr>
              <w:t xml:space="preserve">Il est apparu opportun de prévoir la possibilité pour une ASBL de se transformer en AISBL </w:t>
            </w:r>
            <w:proofErr w:type="gramStart"/>
            <w:r w:rsidRPr="008A7606">
              <w:rPr>
                <w:rFonts w:ascii="Calibri" w:eastAsia="Calibri" w:hAnsi="Calibri" w:cs="Calibri"/>
                <w:lang w:val="fr-FR"/>
              </w:rPr>
              <w:t>et  inversement</w:t>
            </w:r>
            <w:proofErr w:type="gramEnd"/>
            <w:r w:rsidRPr="008A7606">
              <w:rPr>
                <w:rFonts w:ascii="Calibri" w:eastAsia="Calibri" w:hAnsi="Calibri" w:cs="Calibri"/>
                <w:lang w:val="fr-FR"/>
              </w:rPr>
              <w:t>.</w:t>
            </w:r>
          </w:p>
          <w:p w14:paraId="5B1CB94B" w14:textId="77777777" w:rsidR="00135B38" w:rsidRPr="008A7606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</w:p>
          <w:p w14:paraId="77FD4809" w14:textId="77777777" w:rsidR="00135B38" w:rsidRPr="008A7606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8A7606">
              <w:rPr>
                <w:rFonts w:ascii="Calibri" w:eastAsia="Calibri" w:hAnsi="Calibri" w:cs="Calibri"/>
                <w:lang w:val="fr-FR"/>
              </w:rPr>
              <w:t>La procédure s’inspire de la procédure de transformation d’une ASBL en SC agréée comme ES.</w:t>
            </w:r>
          </w:p>
          <w:p w14:paraId="4AC180A6" w14:textId="77777777" w:rsidR="00135B38" w:rsidRPr="008A7606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</w:p>
          <w:p w14:paraId="7C71320C" w14:textId="77777777" w:rsidR="00135B38" w:rsidRPr="008A7606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8A7606">
              <w:rPr>
                <w:rFonts w:ascii="Calibri" w:eastAsia="Calibri" w:hAnsi="Calibri" w:cs="Calibri"/>
                <w:lang w:val="fr-FR"/>
              </w:rPr>
              <w:t>Elle est cependant considérablement simplifiée.</w:t>
            </w:r>
          </w:p>
          <w:p w14:paraId="1D99FD15" w14:textId="77777777" w:rsidR="00135B38" w:rsidRPr="008A7606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</w:p>
          <w:p w14:paraId="378ED8E2" w14:textId="77777777" w:rsidR="00135B38" w:rsidRPr="008A7606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8A7606">
              <w:rPr>
                <w:rFonts w:ascii="Calibri" w:eastAsia="Calibri" w:hAnsi="Calibri" w:cs="Calibri"/>
                <w:lang w:val="fr-FR"/>
              </w:rPr>
              <w:t xml:space="preserve">Les articles </w:t>
            </w:r>
            <w:proofErr w:type="gramStart"/>
            <w:r w:rsidRPr="008A7606">
              <w:rPr>
                <w:rFonts w:ascii="Calibri" w:eastAsia="Calibri" w:hAnsi="Calibri" w:cs="Calibri"/>
                <w:lang w:val="fr-FR"/>
              </w:rPr>
              <w:t>14:</w:t>
            </w:r>
            <w:proofErr w:type="gramEnd"/>
            <w:r w:rsidRPr="008A7606">
              <w:rPr>
                <w:rFonts w:ascii="Calibri" w:eastAsia="Calibri" w:hAnsi="Calibri" w:cs="Calibri"/>
                <w:lang w:val="fr-FR"/>
              </w:rPr>
              <w:t>47 à 14:49 reprennent ainsi en substance les articles 14:38 à 14:39 tandis que l’article 14:50 s’inspire de l’article 14:45.</w:t>
            </w:r>
          </w:p>
          <w:p w14:paraId="7E233029" w14:textId="77777777" w:rsidR="00135B38" w:rsidRPr="008A7606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35B38" w:rsidRPr="009D0A69" w14:paraId="1E716C0B" w14:textId="77777777" w:rsidTr="00083F52">
        <w:trPr>
          <w:trHeight w:val="416"/>
        </w:trPr>
        <w:tc>
          <w:tcPr>
            <w:tcW w:w="2122" w:type="dxa"/>
          </w:tcPr>
          <w:p w14:paraId="1E7C5BD9" w14:textId="77777777" w:rsidR="00135B38" w:rsidRDefault="00135B38" w:rsidP="00083F52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23DC43CA" w14:textId="77777777" w:rsidR="00135B38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l-BE"/>
              </w:rPr>
            </w:pPr>
            <w:r>
              <w:rPr>
                <w:rFonts w:ascii="Calibri" w:eastAsia="Calibri" w:hAnsi="Calibri" w:cs="Calibri"/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4215973" w14:textId="77777777" w:rsidR="00135B38" w:rsidRDefault="00135B38" w:rsidP="00083F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Pas de remarques.</w:t>
            </w:r>
          </w:p>
        </w:tc>
      </w:tr>
    </w:tbl>
    <w:p w14:paraId="004A9E9E" w14:textId="77777777" w:rsidR="001203BA" w:rsidRPr="00355C31" w:rsidRDefault="001203BA" w:rsidP="001203BA">
      <w:pPr>
        <w:rPr>
          <w:lang w:val="fr-FR"/>
        </w:rPr>
      </w:pPr>
    </w:p>
    <w:p w14:paraId="49B3C4DA" w14:textId="77777777" w:rsidR="00A820D7" w:rsidRPr="00355C31" w:rsidRDefault="00A820D7">
      <w:pPr>
        <w:rPr>
          <w:lang w:val="fr-FR"/>
        </w:rPr>
      </w:pPr>
    </w:p>
    <w:sectPr w:rsidR="00A820D7" w:rsidRPr="00355C31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E29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74BB"/>
    <w:rsid w:val="0002054A"/>
    <w:rsid w:val="00020B72"/>
    <w:rsid w:val="00021FCB"/>
    <w:rsid w:val="00025BD5"/>
    <w:rsid w:val="00036F85"/>
    <w:rsid w:val="0007770A"/>
    <w:rsid w:val="00083F52"/>
    <w:rsid w:val="000B17B4"/>
    <w:rsid w:val="000D6EAF"/>
    <w:rsid w:val="000E14C5"/>
    <w:rsid w:val="000F28E4"/>
    <w:rsid w:val="00102D66"/>
    <w:rsid w:val="00104701"/>
    <w:rsid w:val="001124BA"/>
    <w:rsid w:val="0011776E"/>
    <w:rsid w:val="001203BA"/>
    <w:rsid w:val="001274D6"/>
    <w:rsid w:val="00135B38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6896"/>
    <w:rsid w:val="00191BAC"/>
    <w:rsid w:val="00193578"/>
    <w:rsid w:val="001B29CB"/>
    <w:rsid w:val="001C36B7"/>
    <w:rsid w:val="001D27E0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5C3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41E30"/>
    <w:rsid w:val="004443F2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1201"/>
    <w:rsid w:val="005E7872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4ABA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32BF"/>
    <w:rsid w:val="00767452"/>
    <w:rsid w:val="00792C53"/>
    <w:rsid w:val="007B17CA"/>
    <w:rsid w:val="007B581C"/>
    <w:rsid w:val="007D7A6B"/>
    <w:rsid w:val="00800A45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A7606"/>
    <w:rsid w:val="008B2189"/>
    <w:rsid w:val="008D71F7"/>
    <w:rsid w:val="008E164C"/>
    <w:rsid w:val="008E7328"/>
    <w:rsid w:val="00905B7A"/>
    <w:rsid w:val="00913896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D0A6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758"/>
    <w:rsid w:val="00AD4244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548A3"/>
    <w:rsid w:val="00D66D82"/>
    <w:rsid w:val="00D8405B"/>
    <w:rsid w:val="00D931FB"/>
    <w:rsid w:val="00D96002"/>
    <w:rsid w:val="00DB5C97"/>
    <w:rsid w:val="00E15CFE"/>
    <w:rsid w:val="00E21F8D"/>
    <w:rsid w:val="00E26DE4"/>
    <w:rsid w:val="00E511E0"/>
    <w:rsid w:val="00E72BF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4787E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054E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F4787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customStyle="1" w:styleId="Kop1Teken">
    <w:name w:val="Kop 1 Teken"/>
    <w:basedOn w:val="Standaardalinea-lettertype"/>
    <w:link w:val="Kop1"/>
    <w:uiPriority w:val="9"/>
    <w:rsid w:val="00F4787E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F47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4813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13</cp:revision>
  <dcterms:created xsi:type="dcterms:W3CDTF">2019-11-04T14:14:00Z</dcterms:created>
  <dcterms:modified xsi:type="dcterms:W3CDTF">2022-02-04T11:17:00Z</dcterms:modified>
</cp:coreProperties>
</file>