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5"/>
        <w:gridCol w:w="5387"/>
        <w:gridCol w:w="5953"/>
      </w:tblGrid>
      <w:tr w:rsidR="001203BA" w:rsidRPr="009460AE" w14:paraId="04702E2E" w14:textId="77777777" w:rsidTr="00300C73">
        <w:tc>
          <w:tcPr>
            <w:tcW w:w="2405" w:type="dxa"/>
            <w:gridSpan w:val="2"/>
          </w:tcPr>
          <w:p w14:paraId="626945BB" w14:textId="77777777" w:rsidR="001203BA" w:rsidRPr="00B07AC9" w:rsidRDefault="00AE0088" w:rsidP="007B4FE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14:55</w:t>
            </w:r>
          </w:p>
        </w:tc>
        <w:tc>
          <w:tcPr>
            <w:tcW w:w="11340" w:type="dxa"/>
            <w:gridSpan w:val="2"/>
            <w:shd w:val="clear" w:color="auto" w:fill="auto"/>
          </w:tcPr>
          <w:p w14:paraId="7BA502FA" w14:textId="77777777" w:rsidR="001B29CB" w:rsidRPr="00C47A8C" w:rsidRDefault="001B29CB" w:rsidP="007B4FE7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338F62E7" w14:textId="77777777" w:rsidTr="00300C73">
        <w:tc>
          <w:tcPr>
            <w:tcW w:w="1980" w:type="dxa"/>
          </w:tcPr>
          <w:p w14:paraId="5EA849D7" w14:textId="77777777" w:rsidR="001203BA" w:rsidRPr="00B07AC9" w:rsidRDefault="001203BA" w:rsidP="007B4FE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925A09B" w14:textId="77777777" w:rsidR="001203BA" w:rsidRPr="007B17CA" w:rsidRDefault="001203BA" w:rsidP="007B4FE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E0088" w:rsidRPr="00E6558D" w14:paraId="1D47CF20" w14:textId="77777777" w:rsidTr="007B4FE7">
        <w:trPr>
          <w:trHeight w:val="558"/>
        </w:trPr>
        <w:tc>
          <w:tcPr>
            <w:tcW w:w="1980" w:type="dxa"/>
          </w:tcPr>
          <w:p w14:paraId="1ED216DB" w14:textId="77777777" w:rsidR="00AE0088" w:rsidRDefault="00AE0088" w:rsidP="007B4FE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C3885A" w14:textId="77777777" w:rsidR="00AE0088" w:rsidRDefault="00AE0088" w:rsidP="007B4FE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Uiterlijk binnen twee maanden na de bekendmaking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omzettingsvoorstel in de Bijlagen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bij het </w:t>
            </w:r>
            <w:r w:rsidRPr="000A1C13">
              <w:rPr>
                <w:rFonts w:cstheme="minorHAnsi"/>
                <w:i/>
                <w:iCs/>
                <w:lang w:val="nl-BE"/>
              </w:rPr>
              <w:t>Belgisch Staatsblad</w:t>
            </w:r>
            <w:r w:rsidRPr="000A1C13">
              <w:rPr>
                <w:rFonts w:cstheme="minorHAnsi"/>
                <w:lang w:val="nl-BE"/>
              </w:rPr>
              <w:t>, kunnen de schuldeisers,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niettegenstaande andersluidende bepaling, een zekerheid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of enige andere waarborg eisen van de vereniging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 hun schuldvorderingen die op het tijdstip van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bekendmaking vas</w:t>
            </w:r>
            <w:r w:rsidRPr="000E4CB1">
              <w:rPr>
                <w:rFonts w:cstheme="minorHAnsi"/>
                <w:lang w:val="nl-BE"/>
              </w:rPr>
              <w:t>tstaand maar nog niet opeisbaar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zijn evenals voor hun schuldvorderingen waarvoor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rechte of via arbitrage een vordering tegen de vereniging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werd ingesteld vóór de bekendmaking van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omzettingsvoorstel.</w:t>
            </w:r>
          </w:p>
          <w:p w14:paraId="7452D8C2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9527241" w14:textId="77777777" w:rsidR="00AE0088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Daartoe richt de schuldeiser tegelijkertijd een schriftelijk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verzoek aan de vereniging en de notaris vermeld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het omzettingsvoorstel, op straffe van niet ontvankelijkheid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zijn verzoek.</w:t>
            </w:r>
          </w:p>
          <w:p w14:paraId="5AF5F11E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82FED02" w14:textId="77777777" w:rsidR="00AE0088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vereniging kan</w:t>
            </w:r>
            <w:r w:rsidRPr="000E4CB1">
              <w:rPr>
                <w:rFonts w:cstheme="minorHAnsi"/>
                <w:lang w:val="nl-BE"/>
              </w:rPr>
              <w:t xml:space="preserve"> deze vordering afweren door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schuldvordering te betalen tegen haar waarde, na aftrek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disconto.</w:t>
            </w:r>
          </w:p>
          <w:p w14:paraId="51A428C9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1BD96AA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Indien geen overeenstemming wordt bereikt of indien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schuldeiser geen voldoening heeft gekregen, legt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meest gerede partij het geschil voor aan de voorzitter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ondernemingsrechtbank van de zetel van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schuldplichtige vereniging, zitting houdend in kort geding.</w:t>
            </w:r>
          </w:p>
          <w:p w14:paraId="0149C3F7" w14:textId="77777777" w:rsidR="00AE0088" w:rsidRPr="000A1C13" w:rsidRDefault="00AE0088" w:rsidP="007B4FE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05EF83CC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Zonder afbreuk te doen aan de grond van de zaak, bepaalt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voorzitter de zekerheid die de vereniging moet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stellen en de termijn waarbinnen dit moet gebeuren,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tenzij hij beslist dat geen zekerheid is vereist gelet op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de waarborgen en </w:t>
            </w:r>
            <w:r w:rsidRPr="000A1C13">
              <w:rPr>
                <w:rFonts w:cstheme="minorHAnsi"/>
                <w:lang w:val="nl-BE"/>
              </w:rPr>
              <w:lastRenderedPageBreak/>
              <w:t>voorrechten waarover de schuldeiser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beschikt of op de solvabiliteit van de vereniging.</w:t>
            </w:r>
          </w:p>
        </w:tc>
        <w:tc>
          <w:tcPr>
            <w:tcW w:w="5953" w:type="dxa"/>
            <w:shd w:val="clear" w:color="auto" w:fill="auto"/>
          </w:tcPr>
          <w:p w14:paraId="509FCAE7" w14:textId="77777777" w:rsidR="00AE0088" w:rsidRPr="00AE0088" w:rsidRDefault="00AE0088" w:rsidP="007B4FE7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lastRenderedPageBreak/>
              <w:t>Au plus tard dans les deux mois de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publication aux Annexes du </w:t>
            </w:r>
            <w:r w:rsidRPr="000A1C13">
              <w:rPr>
                <w:rFonts w:cstheme="minorHAnsi"/>
                <w:i/>
                <w:iCs/>
                <w:lang w:val="fr-FR"/>
              </w:rPr>
              <w:t xml:space="preserve">Moniteur belge </w:t>
            </w:r>
            <w:r w:rsidRPr="000A1C13">
              <w:rPr>
                <w:rFonts w:cstheme="minorHAnsi"/>
                <w:lang w:val="fr-FR"/>
              </w:rPr>
              <w:t>du projet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transformation, les créanciers ont, nonobstant toute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disposition contraire, le droit d’exiger de l’association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une sûreté ou toute autre garantie pour leurs créances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certaines mais non encore exigibles au moment de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publication et, pour les créances faisant l’objet d’une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action introduite en justice ou par voie d’arbitrage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contre l’association, avant la publication du projet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transformation.</w:t>
            </w:r>
          </w:p>
          <w:p w14:paraId="1D37E22F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3ECECA2" w14:textId="77777777" w:rsidR="00AE0088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cet effet et sous peine d’irrecevabilité de la requête,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créancier adresse en même temps une demande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écrite à l’association et au notaire mentionné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projet de transformation.</w:t>
            </w:r>
          </w:p>
          <w:p w14:paraId="333EC83C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A948748" w14:textId="77777777" w:rsidR="00AE0088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L’association peut écarter cette demande en payant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créance à sa valeur, après déduction de l’escompte.</w:t>
            </w:r>
          </w:p>
          <w:p w14:paraId="7F1694B1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0534BB4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défaut d’accord ou si le créancier n’a pas reçu</w:t>
            </w:r>
          </w:p>
          <w:p w14:paraId="368C068B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gramStart"/>
            <w:r w:rsidRPr="000A1C13">
              <w:rPr>
                <w:rFonts w:cstheme="minorHAnsi"/>
                <w:lang w:val="fr-FR"/>
              </w:rPr>
              <w:t>satisfaction</w:t>
            </w:r>
            <w:proofErr w:type="gramEnd"/>
            <w:r w:rsidRPr="000A1C13">
              <w:rPr>
                <w:rFonts w:cstheme="minorHAnsi"/>
                <w:lang w:val="fr-FR"/>
              </w:rPr>
              <w:t>, la partie la plus diligente soumet la contestation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 président du tribunal de l’entreprise du siège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l’association débitrice, siégeant en référé.</w:t>
            </w:r>
          </w:p>
          <w:p w14:paraId="34E3C748" w14:textId="77777777" w:rsidR="00AE0088" w:rsidRPr="000A1C13" w:rsidRDefault="00AE0088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160E542" w14:textId="77777777" w:rsidR="00AE0088" w:rsidRPr="000A1C13" w:rsidRDefault="00AE0088" w:rsidP="007B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Tous droits saufs au fond, le président détermine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sûreté à fournir par l’</w:t>
            </w:r>
            <w:r w:rsidRPr="000E4CB1">
              <w:rPr>
                <w:rFonts w:cstheme="minorHAnsi"/>
                <w:lang w:val="fr-FR"/>
              </w:rPr>
              <w:t>association et fi</w:t>
            </w:r>
            <w:r w:rsidRPr="000A1C13">
              <w:rPr>
                <w:rFonts w:cstheme="minorHAnsi"/>
                <w:lang w:val="fr-FR"/>
              </w:rPr>
              <w:t>xe le délai dans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lequel elle doit être constituée, à moins qu’il ne décide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qu’aucune sûreté n’est requise, eu égard soit aux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garanties et privilèges dont jouit le créancier, soit à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solvabilité de l’association.</w:t>
            </w:r>
          </w:p>
        </w:tc>
      </w:tr>
      <w:tr w:rsidR="00E6558D" w:rsidRPr="00E6558D" w14:paraId="60008151" w14:textId="77777777" w:rsidTr="00E6558D">
        <w:trPr>
          <w:trHeight w:val="438"/>
        </w:trPr>
        <w:tc>
          <w:tcPr>
            <w:tcW w:w="1980" w:type="dxa"/>
          </w:tcPr>
          <w:p w14:paraId="66E1B04D" w14:textId="77777777" w:rsidR="00E6558D" w:rsidRPr="0092397F" w:rsidRDefault="00E6558D" w:rsidP="00E9206C">
            <w:pPr>
              <w:spacing w:after="0"/>
            </w:pPr>
            <w:proofErr w:type="spellStart"/>
            <w:r w:rsidRPr="0092397F">
              <w:lastRenderedPageBreak/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B356438" w14:textId="77777777" w:rsidR="00E6558D" w:rsidRPr="0092397F" w:rsidRDefault="00E6558D" w:rsidP="00E9206C">
            <w:pPr>
              <w:spacing w:after="0"/>
            </w:pPr>
            <w:proofErr w:type="spellStart"/>
            <w:r w:rsidRPr="0092397F">
              <w:t>Geen</w:t>
            </w:r>
            <w:proofErr w:type="spellEnd"/>
            <w:r w:rsidRPr="0092397F">
              <w:t xml:space="preserve"> </w:t>
            </w:r>
            <w:proofErr w:type="spellStart"/>
            <w:r w:rsidRPr="0092397F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A52A7E9" w14:textId="77777777" w:rsidR="00E6558D" w:rsidRDefault="00E6558D" w:rsidP="00E9206C">
            <w:pPr>
              <w:spacing w:after="0"/>
            </w:pPr>
            <w:r w:rsidRPr="0092397F">
              <w:t xml:space="preserve">Pas </w:t>
            </w:r>
            <w:proofErr w:type="spellStart"/>
            <w:r w:rsidRPr="0092397F">
              <w:t>d’article</w:t>
            </w:r>
            <w:proofErr w:type="spellEnd"/>
            <w:r>
              <w:t>.</w:t>
            </w:r>
          </w:p>
        </w:tc>
      </w:tr>
      <w:tr w:rsidR="00E6558D" w:rsidRPr="00211998" w14:paraId="249270C1" w14:textId="77777777" w:rsidTr="007B4FE7">
        <w:trPr>
          <w:trHeight w:val="425"/>
        </w:trPr>
        <w:tc>
          <w:tcPr>
            <w:tcW w:w="1980" w:type="dxa"/>
          </w:tcPr>
          <w:p w14:paraId="0E6DDAF1" w14:textId="77777777" w:rsidR="00E6558D" w:rsidRPr="00211998" w:rsidRDefault="00E6558D" w:rsidP="007B4F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7751336" w14:textId="77777777" w:rsidR="00E6558D" w:rsidRPr="00211998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16ED948" w14:textId="77777777" w:rsidR="00E6558D" w:rsidRPr="000A1C13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E6558D" w:rsidRPr="00211998" w14:paraId="18DB254B" w14:textId="77777777" w:rsidTr="007B4FE7">
        <w:trPr>
          <w:trHeight w:val="421"/>
        </w:trPr>
        <w:tc>
          <w:tcPr>
            <w:tcW w:w="1980" w:type="dxa"/>
          </w:tcPr>
          <w:p w14:paraId="20FC6E89" w14:textId="77777777" w:rsidR="00E6558D" w:rsidRDefault="00E6558D" w:rsidP="007B4FE7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0F29501E" w14:textId="77777777" w:rsidR="00E6558D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EF35A47" w14:textId="77777777" w:rsidR="00E6558D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E6558D" w:rsidRPr="00211998" w14:paraId="7DFC472E" w14:textId="77777777" w:rsidTr="007B4FE7">
        <w:trPr>
          <w:trHeight w:val="417"/>
        </w:trPr>
        <w:tc>
          <w:tcPr>
            <w:tcW w:w="1980" w:type="dxa"/>
          </w:tcPr>
          <w:p w14:paraId="2A327D5F" w14:textId="77777777" w:rsidR="00E6558D" w:rsidRDefault="00E6558D" w:rsidP="007B4FE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6E007828" w14:textId="77777777" w:rsidR="00E6558D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30E7DC9" w14:textId="77777777" w:rsidR="00E6558D" w:rsidRDefault="00E6558D" w:rsidP="007B4FE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5243B4A2" w14:textId="77777777" w:rsidR="001203BA" w:rsidRPr="0047203B" w:rsidRDefault="001203BA" w:rsidP="001203BA">
      <w:pPr>
        <w:rPr>
          <w:lang w:val="fr-FR"/>
        </w:rPr>
      </w:pPr>
    </w:p>
    <w:p w14:paraId="0A758DB0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211998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0C73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3488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32BF"/>
    <w:rsid w:val="00792C53"/>
    <w:rsid w:val="007B17CA"/>
    <w:rsid w:val="007B4FE7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C0B67"/>
    <w:rsid w:val="00DE1FCC"/>
    <w:rsid w:val="00E15370"/>
    <w:rsid w:val="00E15CFE"/>
    <w:rsid w:val="00E21F8D"/>
    <w:rsid w:val="00E26DE4"/>
    <w:rsid w:val="00E511E0"/>
    <w:rsid w:val="00E6558D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36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2019-11-04T14:40:00Z</dcterms:created>
  <dcterms:modified xsi:type="dcterms:W3CDTF">2022-02-07T11:36:00Z</dcterms:modified>
</cp:coreProperties>
</file>