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92"/>
        <w:gridCol w:w="4961"/>
        <w:gridCol w:w="5812"/>
      </w:tblGrid>
      <w:tr w:rsidR="001203BA" w:rsidRPr="009460AE" w14:paraId="52A75F72" w14:textId="77777777" w:rsidTr="00046942">
        <w:tc>
          <w:tcPr>
            <w:tcW w:w="2972" w:type="dxa"/>
            <w:gridSpan w:val="2"/>
          </w:tcPr>
          <w:p w14:paraId="437AA195" w14:textId="77777777" w:rsidR="001203BA" w:rsidRPr="00B07AC9" w:rsidRDefault="00AE0088" w:rsidP="00B507BD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7524C0">
              <w:rPr>
                <w:b/>
                <w:sz w:val="32"/>
                <w:szCs w:val="32"/>
                <w:lang w:val="nl-BE"/>
              </w:rPr>
              <w:t>:56</w:t>
            </w:r>
          </w:p>
        </w:tc>
        <w:tc>
          <w:tcPr>
            <w:tcW w:w="10773" w:type="dxa"/>
            <w:gridSpan w:val="2"/>
            <w:shd w:val="clear" w:color="auto" w:fill="auto"/>
          </w:tcPr>
          <w:p w14:paraId="5295A9FE" w14:textId="77777777" w:rsidR="001B29CB" w:rsidRPr="00C47A8C" w:rsidRDefault="001B29CB" w:rsidP="00B507BD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0923BB73" w14:textId="77777777" w:rsidTr="00046942">
        <w:tc>
          <w:tcPr>
            <w:tcW w:w="1980" w:type="dxa"/>
          </w:tcPr>
          <w:p w14:paraId="7A058103" w14:textId="77777777" w:rsidR="001203BA" w:rsidRPr="00B07AC9" w:rsidRDefault="001203BA" w:rsidP="00B507BD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40333FCF" w14:textId="77777777" w:rsidR="001203BA" w:rsidRPr="007B17CA" w:rsidRDefault="001203BA" w:rsidP="00B507BD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7524C0" w:rsidRPr="00A511EC" w14:paraId="688DB663" w14:textId="77777777" w:rsidTr="00AE40E6">
        <w:trPr>
          <w:trHeight w:val="1937"/>
        </w:trPr>
        <w:tc>
          <w:tcPr>
            <w:tcW w:w="1980" w:type="dxa"/>
          </w:tcPr>
          <w:p w14:paraId="3ADAD6B0" w14:textId="77777777" w:rsidR="007524C0" w:rsidRDefault="007524C0" w:rsidP="00B507BD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86AE258" w14:textId="77777777" w:rsidR="007524C0" w:rsidRPr="007524C0" w:rsidRDefault="007524C0" w:rsidP="00B507BD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Het bestuursorgaan licht het voorstel tot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grensoverschrijdend</w:t>
            </w:r>
            <w:r w:rsidRPr="000E4CB1">
              <w:rPr>
                <w:rFonts w:cstheme="minorHAnsi"/>
                <w:lang w:val="nl-BE"/>
              </w:rPr>
              <w:t>e omzetting, haar juridische en</w:t>
            </w:r>
            <w:r>
              <w:rPr>
                <w:rFonts w:cstheme="minorHAnsi"/>
                <w:lang w:val="nl-BE"/>
              </w:rPr>
              <w:t xml:space="preserve"> e</w:t>
            </w:r>
            <w:r w:rsidRPr="000A1C13">
              <w:rPr>
                <w:rFonts w:cstheme="minorHAnsi"/>
                <w:lang w:val="nl-BE"/>
              </w:rPr>
              <w:t>conomische redenen en gevolgen, en haar gevolgen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voor de leden, de schuldeisers en de werknemers toe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in een verslag dat wordt vermeld in de agenda van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algemene vergadering voor de VZW of de vergadering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het door de statuten a</w:t>
            </w:r>
            <w:bookmarkStart w:id="0" w:name="_GoBack"/>
            <w:bookmarkEnd w:id="0"/>
            <w:r w:rsidRPr="000A1C13">
              <w:rPr>
                <w:rFonts w:cstheme="minorHAnsi"/>
                <w:lang w:val="nl-BE"/>
              </w:rPr>
              <w:t>angewezen orgaan voor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IVZW die het omzettingsbesluit moet nemen.</w:t>
            </w:r>
          </w:p>
        </w:tc>
        <w:tc>
          <w:tcPr>
            <w:tcW w:w="5812" w:type="dxa"/>
            <w:shd w:val="clear" w:color="auto" w:fill="auto"/>
          </w:tcPr>
          <w:p w14:paraId="377A43F4" w14:textId="77777777" w:rsidR="007524C0" w:rsidRPr="000A1C13" w:rsidRDefault="007524C0" w:rsidP="00B507BD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L’organe d’administration expose 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projet de transformation transfrontalière, ses motifs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et conséquences juridiques et économiques, et ses</w:t>
            </w:r>
            <w:r w:rsidR="008B37AA"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conséquences pour les membres, les créanciers et les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travailleurs dans un rapport inscrit à l’ordre du jour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l’assemblée générale pour l’ASBL ou de la réunion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l’organe désigné par les statuts pour l’AISBL appelée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à statuer sur la décision de transformation.</w:t>
            </w:r>
            <w:r>
              <w:rPr>
                <w:rFonts w:cstheme="minorHAnsi"/>
                <w:lang w:val="fr-FR"/>
              </w:rPr>
              <w:t xml:space="preserve"> </w:t>
            </w:r>
          </w:p>
        </w:tc>
      </w:tr>
      <w:tr w:rsidR="00A511EC" w:rsidRPr="00A511EC" w14:paraId="24CB3E82" w14:textId="77777777" w:rsidTr="00A511EC">
        <w:trPr>
          <w:trHeight w:val="367"/>
        </w:trPr>
        <w:tc>
          <w:tcPr>
            <w:tcW w:w="1980" w:type="dxa"/>
          </w:tcPr>
          <w:p w14:paraId="1F9AF07F" w14:textId="77777777" w:rsidR="00A511EC" w:rsidRPr="007F745C" w:rsidRDefault="00A511EC" w:rsidP="00E9206C">
            <w:pPr>
              <w:spacing w:after="0"/>
            </w:pPr>
            <w:proofErr w:type="spellStart"/>
            <w:r w:rsidRPr="007F745C">
              <w:t>Ontwerp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16090DA2" w14:textId="77777777" w:rsidR="00A511EC" w:rsidRPr="007F745C" w:rsidRDefault="00A511EC" w:rsidP="00E9206C">
            <w:pPr>
              <w:spacing w:after="0"/>
            </w:pPr>
            <w:proofErr w:type="spellStart"/>
            <w:r w:rsidRPr="007F745C">
              <w:t>Geen</w:t>
            </w:r>
            <w:proofErr w:type="spellEnd"/>
            <w:r w:rsidRPr="007F745C">
              <w:t xml:space="preserve"> </w:t>
            </w:r>
            <w:proofErr w:type="spellStart"/>
            <w:r w:rsidRPr="007F745C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745CBCFD" w14:textId="77777777" w:rsidR="00A511EC" w:rsidRDefault="00A511EC" w:rsidP="00E9206C">
            <w:pPr>
              <w:spacing w:after="0"/>
            </w:pPr>
            <w:r w:rsidRPr="007F745C">
              <w:t xml:space="preserve">Pas </w:t>
            </w:r>
            <w:r>
              <w:t xml:space="preserve">d’ </w:t>
            </w:r>
            <w:r w:rsidRPr="007F745C">
              <w:t>article</w:t>
            </w:r>
            <w:r>
              <w:t>.</w:t>
            </w:r>
          </w:p>
        </w:tc>
      </w:tr>
      <w:tr w:rsidR="00A511EC" w:rsidRPr="00D03184" w14:paraId="60CBB0FA" w14:textId="77777777" w:rsidTr="00AE40E6">
        <w:trPr>
          <w:trHeight w:val="409"/>
        </w:trPr>
        <w:tc>
          <w:tcPr>
            <w:tcW w:w="1980" w:type="dxa"/>
          </w:tcPr>
          <w:p w14:paraId="2429B9CD" w14:textId="77777777" w:rsidR="00A511EC" w:rsidRPr="00D03184" w:rsidRDefault="00A511EC" w:rsidP="00B507B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6FC9A644" w14:textId="77777777" w:rsidR="00A511EC" w:rsidRPr="00D03184" w:rsidRDefault="00A511EC" w:rsidP="00B507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5FC72C5" w14:textId="77777777" w:rsidR="00A511EC" w:rsidRPr="000A1C13" w:rsidRDefault="00A511EC" w:rsidP="00B507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A511EC" w:rsidRPr="00D03184" w14:paraId="54EA5DD0" w14:textId="77777777" w:rsidTr="00AE40E6">
        <w:trPr>
          <w:trHeight w:val="377"/>
        </w:trPr>
        <w:tc>
          <w:tcPr>
            <w:tcW w:w="1980" w:type="dxa"/>
          </w:tcPr>
          <w:p w14:paraId="0151569E" w14:textId="77777777" w:rsidR="00A511EC" w:rsidRDefault="00A511EC" w:rsidP="00B507B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28749F2D" w14:textId="77777777" w:rsidR="00A511EC" w:rsidRDefault="00A511EC" w:rsidP="00B507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D0B4888" w14:textId="77777777" w:rsidR="00A511EC" w:rsidRDefault="00A511EC" w:rsidP="00B507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A511EC" w:rsidRPr="00D03184" w14:paraId="194D7AF0" w14:textId="77777777" w:rsidTr="00AE40E6">
        <w:trPr>
          <w:trHeight w:val="415"/>
        </w:trPr>
        <w:tc>
          <w:tcPr>
            <w:tcW w:w="1980" w:type="dxa"/>
          </w:tcPr>
          <w:p w14:paraId="3E1DD2EF" w14:textId="77777777" w:rsidR="00A511EC" w:rsidRDefault="00A511EC" w:rsidP="00B507BD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1931FF3B" w14:textId="77777777" w:rsidR="00A511EC" w:rsidRDefault="00A511EC" w:rsidP="00B507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E193D32" w14:textId="77777777" w:rsidR="00A511EC" w:rsidRDefault="00A511EC" w:rsidP="00B507BD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4C71FF83" w14:textId="77777777" w:rsidR="001203BA" w:rsidRPr="0047203B" w:rsidRDefault="001203BA" w:rsidP="001203BA">
      <w:pPr>
        <w:rPr>
          <w:lang w:val="fr-FR"/>
        </w:rPr>
      </w:pPr>
    </w:p>
    <w:p w14:paraId="4C641284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74BB"/>
    <w:rsid w:val="0002054A"/>
    <w:rsid w:val="00020B72"/>
    <w:rsid w:val="00021FCB"/>
    <w:rsid w:val="00025BD5"/>
    <w:rsid w:val="00036F85"/>
    <w:rsid w:val="0004694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25CCA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04B1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B37AA"/>
    <w:rsid w:val="008D71F7"/>
    <w:rsid w:val="008E164C"/>
    <w:rsid w:val="008E7328"/>
    <w:rsid w:val="00905B7A"/>
    <w:rsid w:val="00913896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D0B3E"/>
    <w:rsid w:val="009F648C"/>
    <w:rsid w:val="009F7906"/>
    <w:rsid w:val="00A0074A"/>
    <w:rsid w:val="00A01EFB"/>
    <w:rsid w:val="00A152BE"/>
    <w:rsid w:val="00A511EC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E40E6"/>
    <w:rsid w:val="00B15F17"/>
    <w:rsid w:val="00B41CE6"/>
    <w:rsid w:val="00B43558"/>
    <w:rsid w:val="00B44890"/>
    <w:rsid w:val="00B50606"/>
    <w:rsid w:val="00B507BD"/>
    <w:rsid w:val="00B61E27"/>
    <w:rsid w:val="00B6333A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03184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8C8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2019-11-04T14:40:00Z</dcterms:created>
  <dcterms:modified xsi:type="dcterms:W3CDTF">2022-02-07T11:37:00Z</dcterms:modified>
</cp:coreProperties>
</file>