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34"/>
        <w:gridCol w:w="4819"/>
        <w:gridCol w:w="5812"/>
      </w:tblGrid>
      <w:tr w:rsidR="001203BA" w:rsidRPr="009460AE" w14:paraId="3D8A93D9" w14:textId="77777777" w:rsidTr="00A50D23">
        <w:tc>
          <w:tcPr>
            <w:tcW w:w="3114" w:type="dxa"/>
            <w:gridSpan w:val="2"/>
          </w:tcPr>
          <w:p w14:paraId="633FF5DD" w14:textId="77777777" w:rsidR="001203BA" w:rsidRPr="00B07AC9" w:rsidRDefault="00AE0088" w:rsidP="005E33B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1D5AD6">
              <w:rPr>
                <w:b/>
                <w:sz w:val="32"/>
                <w:szCs w:val="32"/>
                <w:lang w:val="nl-BE"/>
              </w:rPr>
              <w:t>:58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27C7F83A" w14:textId="77777777" w:rsidR="001B29CB" w:rsidRPr="00C47A8C" w:rsidRDefault="001B29CB" w:rsidP="005E33BD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74487964" w14:textId="77777777" w:rsidTr="00A50D23">
        <w:tc>
          <w:tcPr>
            <w:tcW w:w="1980" w:type="dxa"/>
          </w:tcPr>
          <w:p w14:paraId="0856D051" w14:textId="77777777" w:rsidR="001203BA" w:rsidRPr="00B07AC9" w:rsidRDefault="001203BA" w:rsidP="005E33BD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058256CC" w14:textId="77777777" w:rsidR="001203BA" w:rsidRPr="007B17CA" w:rsidRDefault="001203BA" w:rsidP="005E33B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D5AD6" w:rsidRPr="00090E04" w14:paraId="2FEDD1C5" w14:textId="77777777" w:rsidTr="00090E04">
        <w:trPr>
          <w:trHeight w:val="3496"/>
        </w:trPr>
        <w:tc>
          <w:tcPr>
            <w:tcW w:w="1980" w:type="dxa"/>
          </w:tcPr>
          <w:p w14:paraId="1B65F4C1" w14:textId="77777777" w:rsidR="001D5AD6" w:rsidRDefault="001D5AD6" w:rsidP="005E33BD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16B5AAB" w14:textId="77777777" w:rsidR="001D5AD6" w:rsidRDefault="001D5AD6" w:rsidP="005E33BD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Een kopie van het verslag van het bestuursorgaan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en van het verslag van de commissaris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of van de bedrijfsrevisor of externe accountant, alsook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het ontwerp van statutenwijziging, worden meegedeeld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aan de leden samen met de oproeping tot de algemene</w:t>
            </w:r>
            <w:r w:rsidR="00A50D23"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vergadering voor de VZW of de vergadering van het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de statuten aangewezen orgaan voor de IVZW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overeenkomstig artikel 2:32.</w:t>
            </w:r>
          </w:p>
          <w:p w14:paraId="7E8221B1" w14:textId="77777777" w:rsidR="001D5AD6" w:rsidRPr="000A1C13" w:rsidRDefault="001D5AD6" w:rsidP="005E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61537FC1" w14:textId="77777777" w:rsidR="001D5AD6" w:rsidRPr="000A1C13" w:rsidRDefault="001D5AD6" w:rsidP="005E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Iedere schuldeiser die op grond van artikel 14:55 over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een verzetsrecht beschikt kan, vanaf de bekendmaking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omzettingsvoorstel overeenkomstig artikel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14:54 op de zetel van de vereniging kosteloos een kopie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de in het eerste lid bedoelde stukken verkrijgen.</w:t>
            </w:r>
          </w:p>
        </w:tc>
        <w:tc>
          <w:tcPr>
            <w:tcW w:w="5812" w:type="dxa"/>
            <w:shd w:val="clear" w:color="auto" w:fill="auto"/>
          </w:tcPr>
          <w:p w14:paraId="5B590413" w14:textId="77777777" w:rsidR="001D5AD6" w:rsidRDefault="001D5AD6" w:rsidP="005E33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Une copie du rapport de l’organe d’administration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et du rapport du commissaire ou du réviseur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d’entreprises ou de l’expert-comptable externe ainsi que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 projet de modification statutaire sont communiqués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aux membres en même temps que la convocation à</w:t>
            </w:r>
            <w:r w:rsidR="005E33BD"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l’assemblée générale pour l’ASBL ou à la réunion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l’organe désigné par les statuts pour l’</w:t>
            </w:r>
            <w:r w:rsidRPr="00DA3DEA">
              <w:rPr>
                <w:rFonts w:cstheme="minorHAnsi"/>
                <w:lang w:val="fr-FR"/>
              </w:rPr>
              <w:t>AISBL conformément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à l’article </w:t>
            </w:r>
            <w:proofErr w:type="gramStart"/>
            <w:r w:rsidRPr="000A1C13">
              <w:rPr>
                <w:rFonts w:cstheme="minorHAnsi"/>
                <w:lang w:val="fr-FR"/>
              </w:rPr>
              <w:t>2:</w:t>
            </w:r>
            <w:proofErr w:type="gramEnd"/>
            <w:r w:rsidRPr="000A1C13">
              <w:rPr>
                <w:rFonts w:cstheme="minorHAnsi"/>
                <w:lang w:val="fr-FR"/>
              </w:rPr>
              <w:t>32.</w:t>
            </w:r>
          </w:p>
          <w:p w14:paraId="00FE3B80" w14:textId="77777777" w:rsidR="001D5AD6" w:rsidRPr="000A1C13" w:rsidRDefault="001D5AD6" w:rsidP="005E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343D54E0" w14:textId="77777777" w:rsidR="001D5AD6" w:rsidRPr="000A1C13" w:rsidRDefault="001D5AD6" w:rsidP="005E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BE"/>
              </w:rPr>
            </w:pPr>
            <w:r w:rsidRPr="000A1C13">
              <w:rPr>
                <w:rFonts w:cstheme="minorHAnsi"/>
                <w:lang w:val="fr-FR"/>
              </w:rPr>
              <w:t>Tout créancier qui dispose d’un droit d’</w:t>
            </w:r>
            <w:r w:rsidRPr="00DA3DEA">
              <w:rPr>
                <w:rFonts w:cstheme="minorHAnsi"/>
                <w:lang w:val="fr-FR"/>
              </w:rPr>
              <w:t>opposition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sur la base de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55 peut obtenir sans frais au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siège de l’association une copie des documents visés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l’alinéa 1er dès la publication de la proposition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transformation conformément à l’article 14:54.</w:t>
            </w:r>
          </w:p>
        </w:tc>
      </w:tr>
      <w:tr w:rsidR="00615F80" w:rsidRPr="00090E04" w14:paraId="3489C2C6" w14:textId="77777777" w:rsidTr="00615F80">
        <w:trPr>
          <w:trHeight w:val="352"/>
        </w:trPr>
        <w:tc>
          <w:tcPr>
            <w:tcW w:w="1980" w:type="dxa"/>
          </w:tcPr>
          <w:p w14:paraId="519540FA" w14:textId="77777777" w:rsidR="00615F80" w:rsidRPr="009546DB" w:rsidRDefault="00615F80" w:rsidP="00E9206C">
            <w:pPr>
              <w:spacing w:after="0"/>
            </w:pPr>
            <w:proofErr w:type="spellStart"/>
            <w:r w:rsidRPr="009546DB">
              <w:t>Ontwerp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65EAA72C" w14:textId="77777777" w:rsidR="00615F80" w:rsidRPr="009546DB" w:rsidRDefault="00615F80" w:rsidP="00E9206C">
            <w:pPr>
              <w:spacing w:after="0"/>
            </w:pPr>
            <w:proofErr w:type="spellStart"/>
            <w:r w:rsidRPr="009546DB">
              <w:t>Geen</w:t>
            </w:r>
            <w:proofErr w:type="spellEnd"/>
            <w:r w:rsidRPr="009546DB">
              <w:t xml:space="preserve"> </w:t>
            </w:r>
            <w:proofErr w:type="spellStart"/>
            <w:r w:rsidRPr="009546DB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61C3E2A" w14:textId="77777777" w:rsidR="00615F80" w:rsidRDefault="00615F80" w:rsidP="00E9206C">
            <w:pPr>
              <w:spacing w:after="0"/>
            </w:pPr>
            <w:r w:rsidRPr="009546DB">
              <w:t xml:space="preserve">Pas </w:t>
            </w:r>
            <w:proofErr w:type="spellStart"/>
            <w:r w:rsidRPr="009546DB">
              <w:t>d’article</w:t>
            </w:r>
            <w:proofErr w:type="spellEnd"/>
            <w:r>
              <w:t>.</w:t>
            </w:r>
          </w:p>
        </w:tc>
      </w:tr>
      <w:tr w:rsidR="00615F80" w:rsidRPr="00017A83" w14:paraId="620635FD" w14:textId="77777777" w:rsidTr="00090E04">
        <w:trPr>
          <w:trHeight w:val="416"/>
        </w:trPr>
        <w:tc>
          <w:tcPr>
            <w:tcW w:w="1980" w:type="dxa"/>
          </w:tcPr>
          <w:p w14:paraId="240206F7" w14:textId="77777777" w:rsidR="00615F80" w:rsidRPr="00017A83" w:rsidRDefault="00615F80" w:rsidP="005E33B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7CD1EDD2" w14:textId="77777777" w:rsidR="00615F80" w:rsidRPr="00017A83" w:rsidRDefault="00615F80" w:rsidP="005E33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C9D850E" w14:textId="77777777" w:rsidR="00615F80" w:rsidRPr="000A1C13" w:rsidRDefault="00615F80" w:rsidP="005E33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615F80" w:rsidRPr="00017A83" w14:paraId="0809A38F" w14:textId="77777777" w:rsidTr="00090E04">
        <w:trPr>
          <w:trHeight w:val="411"/>
        </w:trPr>
        <w:tc>
          <w:tcPr>
            <w:tcW w:w="1980" w:type="dxa"/>
          </w:tcPr>
          <w:p w14:paraId="235204D4" w14:textId="77777777" w:rsidR="00615F80" w:rsidRDefault="00615F80" w:rsidP="005E33BD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1C8FEB4C" w14:textId="77777777" w:rsidR="00615F80" w:rsidRDefault="00615F80" w:rsidP="005E33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8427183" w14:textId="77777777" w:rsidR="00615F80" w:rsidRDefault="00615F80" w:rsidP="005E33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615F80" w:rsidRPr="00017A83" w14:paraId="7A345DF2" w14:textId="77777777" w:rsidTr="00090E04">
        <w:trPr>
          <w:trHeight w:val="411"/>
        </w:trPr>
        <w:tc>
          <w:tcPr>
            <w:tcW w:w="1980" w:type="dxa"/>
          </w:tcPr>
          <w:p w14:paraId="74D446D0" w14:textId="77777777" w:rsidR="00615F80" w:rsidRDefault="00615F80" w:rsidP="005E33B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0EAD9DAA" w14:textId="77777777" w:rsidR="00615F80" w:rsidRDefault="00615F80" w:rsidP="005E33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5863F3A" w14:textId="77777777" w:rsidR="00615F80" w:rsidRDefault="00615F80" w:rsidP="005E33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460510DD" w14:textId="77777777" w:rsidR="001203BA" w:rsidRPr="0047203B" w:rsidRDefault="001203BA" w:rsidP="001203BA">
      <w:pPr>
        <w:rPr>
          <w:lang w:val="fr-FR"/>
        </w:rPr>
      </w:pPr>
    </w:p>
    <w:p w14:paraId="4B64C32E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17A83"/>
    <w:rsid w:val="0002054A"/>
    <w:rsid w:val="00020B72"/>
    <w:rsid w:val="00021FCB"/>
    <w:rsid w:val="00025BD5"/>
    <w:rsid w:val="00036F85"/>
    <w:rsid w:val="00090E04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0699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33BD"/>
    <w:rsid w:val="005E7872"/>
    <w:rsid w:val="006132F3"/>
    <w:rsid w:val="00615F80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B3E"/>
    <w:rsid w:val="009F648C"/>
    <w:rsid w:val="009F7906"/>
    <w:rsid w:val="00A0074A"/>
    <w:rsid w:val="00A01EFB"/>
    <w:rsid w:val="00A152BE"/>
    <w:rsid w:val="00A50D23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A16F0"/>
    <w:rsid w:val="00DB5C97"/>
    <w:rsid w:val="00DE1FCC"/>
    <w:rsid w:val="00E15370"/>
    <w:rsid w:val="00E15CFE"/>
    <w:rsid w:val="00E21F8D"/>
    <w:rsid w:val="00E26DE4"/>
    <w:rsid w:val="00E511E0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9FD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2019-11-04T14:44:00Z</dcterms:created>
  <dcterms:modified xsi:type="dcterms:W3CDTF">2022-02-07T11:38:00Z</dcterms:modified>
</cp:coreProperties>
</file>