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544"/>
        <w:gridCol w:w="2410"/>
        <w:gridCol w:w="5953"/>
      </w:tblGrid>
      <w:tr w:rsidR="001203BA" w:rsidRPr="009460AE" w14:paraId="2C272549" w14:textId="77777777" w:rsidTr="00BB3E89">
        <w:tc>
          <w:tcPr>
            <w:tcW w:w="5382" w:type="dxa"/>
            <w:gridSpan w:val="2"/>
          </w:tcPr>
          <w:p w14:paraId="27D1FA18" w14:textId="77777777" w:rsidR="001203BA" w:rsidRPr="00B07AC9" w:rsidRDefault="00E719D5" w:rsidP="00D002E8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14:60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D7427C9" w14:textId="77777777" w:rsidR="001B29CB" w:rsidRPr="00C47A8C" w:rsidRDefault="001B29CB" w:rsidP="00D002E8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63F2C2BF" w14:textId="77777777" w:rsidTr="00BB3E89">
        <w:tc>
          <w:tcPr>
            <w:tcW w:w="1838" w:type="dxa"/>
          </w:tcPr>
          <w:p w14:paraId="74CE1E22" w14:textId="77777777" w:rsidR="001203BA" w:rsidRPr="00B07AC9" w:rsidRDefault="001203BA" w:rsidP="00D002E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907" w:type="dxa"/>
            <w:gridSpan w:val="3"/>
            <w:shd w:val="clear" w:color="auto" w:fill="auto"/>
          </w:tcPr>
          <w:p w14:paraId="2266FC88" w14:textId="77777777" w:rsidR="001203BA" w:rsidRPr="007B17CA" w:rsidRDefault="001203BA" w:rsidP="00D002E8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E719D5" w:rsidRPr="00D002E8" w14:paraId="4B87FD5C" w14:textId="77777777" w:rsidTr="00D002E8">
        <w:trPr>
          <w:trHeight w:val="2684"/>
        </w:trPr>
        <w:tc>
          <w:tcPr>
            <w:tcW w:w="1838" w:type="dxa"/>
          </w:tcPr>
          <w:p w14:paraId="73261551" w14:textId="77777777" w:rsidR="00E719D5" w:rsidRDefault="00E719D5" w:rsidP="00D002E8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170CAEE7" w14:textId="77777777" w:rsidR="00E719D5" w:rsidRDefault="00E719D5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§ 1. Onverminderd strengere bepalingen in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statuten en de bijzondere bepalingen van dit artikel, beslist de algemene vergadering voor de VZW of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door de statuten aangewezen orgaan voor de IVZW tot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grensoverschrijdende omzetting overeenkomstig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volgende regels van aanwezigheid en meerderheid:</w:t>
            </w:r>
          </w:p>
          <w:p w14:paraId="5C9E8BBD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4963B7DD" w14:textId="65A091C5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1° op de vergaderin</w:t>
            </w:r>
            <w:r w:rsidRPr="00DA3DEA">
              <w:rPr>
                <w:rFonts w:cstheme="minorHAnsi"/>
                <w:lang w:val="nl-BE"/>
              </w:rPr>
              <w:t>g moeten ten minste twee derden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van de leden </w:t>
            </w:r>
            <w:r w:rsidR="00207835">
              <w:rPr>
                <w:rFonts w:cstheme="minorHAnsi"/>
                <w:lang w:val="nl-BE"/>
              </w:rPr>
              <w:fldChar w:fldCharType="begin"/>
            </w:r>
            <w:r w:rsidR="00207835">
              <w:rPr>
                <w:rFonts w:cstheme="minorHAnsi"/>
                <w:lang w:val="nl-BE"/>
              </w:rPr>
              <w:instrText xml:space="preserve"> HYPERLINK  \l "_Amendement_423" </w:instrText>
            </w:r>
            <w:r w:rsidR="00207835">
              <w:rPr>
                <w:rFonts w:cstheme="minorHAnsi"/>
                <w:lang w:val="nl-BE"/>
              </w:rPr>
            </w:r>
            <w:r w:rsidR="00207835">
              <w:rPr>
                <w:rFonts w:cstheme="minorHAnsi"/>
                <w:lang w:val="nl-BE"/>
              </w:rPr>
              <w:fldChar w:fldCharType="separate"/>
            </w:r>
            <w:r w:rsidRPr="00207835">
              <w:rPr>
                <w:rStyle w:val="Hyperlink"/>
                <w:rFonts w:cstheme="minorHAnsi"/>
                <w:lang w:val="nl-BE"/>
              </w:rPr>
              <w:t>van het bevoegd orgaan</w:t>
            </w:r>
            <w:r w:rsidR="00207835">
              <w:rPr>
                <w:rFonts w:cstheme="minorHAnsi"/>
                <w:lang w:val="nl-BE"/>
              </w:rPr>
              <w:fldChar w:fldCharType="end"/>
            </w:r>
            <w:r w:rsidRPr="000A1C13">
              <w:rPr>
                <w:rFonts w:cstheme="minorHAnsi"/>
                <w:lang w:val="nl-BE"/>
              </w:rPr>
              <w:t xml:space="preserve"> aanwezig of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vertegenwoordigd zijn;</w:t>
            </w:r>
          </w:p>
          <w:p w14:paraId="119169D6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295F456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2° een voorstel tot</w:t>
            </w:r>
            <w:r w:rsidRPr="00DA3DEA">
              <w:rPr>
                <w:rFonts w:cstheme="minorHAnsi"/>
                <w:lang w:val="nl-BE"/>
              </w:rPr>
              <w:t xml:space="preserve">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is alleen dan aangenomen, wanneer het vier vijfde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stemmen heeft verkregen.</w:t>
            </w:r>
          </w:p>
          <w:p w14:paraId="1DCB468F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A5EA216" w14:textId="15582FFC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§ 2. Indien het in paragraaf 1 bedoelde aanwezigheidsquorum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niet wordt behaald, kan een tweede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 xml:space="preserve">algemene vergadering voor de VZW of </w:t>
            </w:r>
            <w:r w:rsidR="00207835">
              <w:rPr>
                <w:rFonts w:cstheme="minorHAnsi"/>
                <w:lang w:val="nl-BE"/>
              </w:rPr>
              <w:fldChar w:fldCharType="begin"/>
            </w:r>
            <w:r w:rsidR="00207835">
              <w:rPr>
                <w:rFonts w:cstheme="minorHAnsi"/>
                <w:lang w:val="nl-BE"/>
              </w:rPr>
              <w:instrText xml:space="preserve"> HYPERLINK  \l "_Amendement_423_1" </w:instrText>
            </w:r>
            <w:r w:rsidR="00207835">
              <w:rPr>
                <w:rFonts w:cstheme="minorHAnsi"/>
                <w:lang w:val="nl-BE"/>
              </w:rPr>
            </w:r>
            <w:r w:rsidR="00207835">
              <w:rPr>
                <w:rFonts w:cstheme="minorHAnsi"/>
                <w:lang w:val="nl-BE"/>
              </w:rPr>
              <w:fldChar w:fldCharType="separate"/>
            </w:r>
            <w:r w:rsidRPr="00207835">
              <w:rPr>
                <w:rStyle w:val="Hyperlink"/>
                <w:rFonts w:cstheme="minorHAnsi"/>
                <w:lang w:val="nl-BE"/>
              </w:rPr>
              <w:t>een tweede v</w:t>
            </w:r>
            <w:r w:rsidRPr="00207835">
              <w:rPr>
                <w:rStyle w:val="Hyperlink"/>
                <w:rFonts w:cstheme="minorHAnsi"/>
                <w:lang w:val="nl-BE"/>
              </w:rPr>
              <w:t>e</w:t>
            </w:r>
            <w:r w:rsidRPr="00207835">
              <w:rPr>
                <w:rStyle w:val="Hyperlink"/>
                <w:rFonts w:cstheme="minorHAnsi"/>
                <w:lang w:val="nl-BE"/>
              </w:rPr>
              <w:t>rgadering van het door de statuten aangewezen orgaan voor de IVZW</w:t>
            </w:r>
            <w:r w:rsidR="00207835">
              <w:rPr>
                <w:rFonts w:cstheme="minorHAnsi"/>
                <w:lang w:val="nl-BE"/>
              </w:rPr>
              <w:fldChar w:fldCharType="end"/>
            </w:r>
            <w:r w:rsidRPr="000A1C13">
              <w:rPr>
                <w:rFonts w:cstheme="minorHAnsi"/>
                <w:lang w:val="nl-BE"/>
              </w:rPr>
              <w:t xml:space="preserve"> worden bijeengeroepen, die geldig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kan beraadslagen en besluiten over de grensoverschrijdende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omzetting met de meerderheden bedoeld in dit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artikel, ongeacht het aantal aanwezige of vertegenwoordigde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leden.</w:t>
            </w:r>
          </w:p>
          <w:p w14:paraId="3B7CDA11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3FC6A13B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§ 3. In afwijkin</w:t>
            </w:r>
            <w:r w:rsidRPr="00DA3DEA">
              <w:rPr>
                <w:rFonts w:cstheme="minorHAnsi"/>
                <w:lang w:val="nl-BE"/>
              </w:rPr>
              <w:t>g van de bovenstaande regels is de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instemming van alle leden vereist:</w:t>
            </w:r>
          </w:p>
          <w:p w14:paraId="42243338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01CDBC92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lastRenderedPageBreak/>
              <w:t>1° voor het besluit tot</w:t>
            </w:r>
            <w:r w:rsidRPr="00DA3DEA">
              <w:rPr>
                <w:rFonts w:cstheme="minorHAnsi"/>
                <w:lang w:val="nl-BE"/>
              </w:rPr>
              <w:t xml:space="preserve"> grensoverschrijdende omzetting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in een vereniging waarin de leden onbeperkt aansprakelijk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zijn voor de schulden van de vereniging;</w:t>
            </w:r>
          </w:p>
          <w:p w14:paraId="4CC7DC9E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2A67805B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2° indien de vereniging niet ten minste twee jaar</w:t>
            </w:r>
          </w:p>
          <w:p w14:paraId="5FB3DD34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bestaat;</w:t>
            </w:r>
          </w:p>
          <w:p w14:paraId="1239EBEF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31CF3B5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3° indien in de statuten</w:t>
            </w:r>
            <w:r w:rsidRPr="00DA3DEA">
              <w:rPr>
                <w:rFonts w:cstheme="minorHAnsi"/>
                <w:lang w:val="nl-BE"/>
              </w:rPr>
              <w:t xml:space="preserve"> is bepaald dat zij geen andere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rechtsvorm mag aannemen. Deze bepaling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de statuten kan slechts met instemming van alle leden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worden gewijzigd.</w:t>
            </w:r>
          </w:p>
        </w:tc>
        <w:tc>
          <w:tcPr>
            <w:tcW w:w="5953" w:type="dxa"/>
            <w:shd w:val="clear" w:color="auto" w:fill="auto"/>
          </w:tcPr>
          <w:p w14:paraId="18BE5653" w14:textId="77777777" w:rsidR="00E719D5" w:rsidRPr="00E719D5" w:rsidRDefault="00E719D5" w:rsidP="00D002E8">
            <w:pPr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lastRenderedPageBreak/>
              <w:t>§ 1er. Sous réserve des dispositions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particulières énoncées dans le présent article et de dispositions statutaires plus rigoureuses, l’assemblée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générale pour l’ASBL ou l’organe désigné par les statuts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pour l’AISBL décide de la transformation transfrontalière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dans le respect des règles de présence et de majorité</w:t>
            </w:r>
            <w:r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0A1C13">
              <w:rPr>
                <w:rFonts w:cstheme="minorHAnsi"/>
                <w:lang w:val="fr-FR"/>
              </w:rPr>
              <w:t>suivantes:</w:t>
            </w:r>
            <w:proofErr w:type="gramEnd"/>
          </w:p>
          <w:p w14:paraId="59027363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E117082" w14:textId="22853098" w:rsidR="00E719D5" w:rsidRPr="0020783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yperlink"/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 xml:space="preserve">1° au moins deux tiers des membres </w:t>
            </w:r>
            <w:r w:rsidR="00207835">
              <w:rPr>
                <w:rFonts w:cstheme="minorHAnsi"/>
                <w:lang w:val="fr-FR"/>
              </w:rPr>
              <w:fldChar w:fldCharType="begin"/>
            </w:r>
            <w:r w:rsidR="00207835">
              <w:rPr>
                <w:rFonts w:cstheme="minorHAnsi"/>
                <w:lang w:val="fr-FR"/>
              </w:rPr>
              <w:instrText xml:space="preserve"> HYPERLINK  \l "_Amendement_423_2" </w:instrText>
            </w:r>
            <w:r w:rsidR="00207835">
              <w:rPr>
                <w:rFonts w:cstheme="minorHAnsi"/>
                <w:lang w:val="fr-FR"/>
              </w:rPr>
            </w:r>
            <w:r w:rsidR="00207835">
              <w:rPr>
                <w:rFonts w:cstheme="minorHAnsi"/>
                <w:lang w:val="fr-FR"/>
              </w:rPr>
              <w:fldChar w:fldCharType="separate"/>
            </w:r>
            <w:r w:rsidRPr="00207835">
              <w:rPr>
                <w:rStyle w:val="Hyperlink"/>
                <w:rFonts w:cstheme="minorHAnsi"/>
                <w:lang w:val="fr-FR"/>
              </w:rPr>
              <w:t>de l’organe</w:t>
            </w:r>
          </w:p>
          <w:p w14:paraId="0E161960" w14:textId="29D39445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gramStart"/>
            <w:r w:rsidRPr="00207835">
              <w:rPr>
                <w:rStyle w:val="Hyperlink"/>
                <w:rFonts w:cstheme="minorHAnsi"/>
                <w:lang w:val="fr-FR"/>
              </w:rPr>
              <w:t>compéten</w:t>
            </w:r>
            <w:proofErr w:type="gramEnd"/>
            <w:r w:rsidRPr="00207835">
              <w:rPr>
                <w:rStyle w:val="Hyperlink"/>
                <w:rFonts w:cstheme="minorHAnsi"/>
                <w:lang w:val="fr-FR"/>
              </w:rPr>
              <w:t>t</w:t>
            </w:r>
            <w:r w:rsidR="00207835">
              <w:rPr>
                <w:rFonts w:cstheme="minorHAnsi"/>
                <w:lang w:val="fr-FR"/>
              </w:rPr>
              <w:fldChar w:fldCharType="end"/>
            </w:r>
            <w:r w:rsidRPr="000A1C13">
              <w:rPr>
                <w:rFonts w:cstheme="minorHAnsi"/>
                <w:lang w:val="fr-FR"/>
              </w:rPr>
              <w:t xml:space="preserve"> doivent être présents ou représentés à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l’assemblée;</w:t>
            </w:r>
          </w:p>
          <w:p w14:paraId="00D82BCE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0152C98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2° une proposition de transformation transfrontalière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est seulement acceptée si elle réunit les quatre cinquièmes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des voix.</w:t>
            </w:r>
          </w:p>
          <w:p w14:paraId="475C83E2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433C5113" w14:textId="38FB42EC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§ 2. Lorsque le quorum de présence visé au paragraphe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1er n’est pas atteint, </w:t>
            </w:r>
            <w:hyperlink w:anchor="_Amendement_423_3" w:history="1">
              <w:r w:rsidRPr="00207835">
                <w:rPr>
                  <w:rStyle w:val="Hyperlink"/>
                  <w:rFonts w:cstheme="minorHAnsi"/>
                  <w:lang w:val="fr-FR"/>
                </w:rPr>
                <w:t>une deuxième assemblée générale pour l’ASBL ou une deuxième réunion de l’organe désigné par les statuts pour l’AISBL</w:t>
              </w:r>
            </w:hyperlink>
            <w:r w:rsidRPr="000A1C13">
              <w:rPr>
                <w:rFonts w:cstheme="minorHAnsi"/>
                <w:lang w:val="fr-FR"/>
              </w:rPr>
              <w:t xml:space="preserve"> peut être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convoquée. </w:t>
            </w:r>
            <w:hyperlink w:anchor="_Amendement_423_4" w:history="1">
              <w:r w:rsidRPr="00207835">
                <w:rPr>
                  <w:rStyle w:val="Hyperlink"/>
                  <w:rFonts w:cstheme="minorHAnsi"/>
                  <w:lang w:val="fr-FR"/>
                </w:rPr>
                <w:t>Respectivement cette assemblée ou réunion</w:t>
              </w:r>
            </w:hyperlink>
            <w:bookmarkStart w:id="0" w:name="_GoBack"/>
            <w:bookmarkEnd w:id="0"/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peut valablement délibérer et statuer sur la transformation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transfrontalière avec les majorités visées au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présent article quel que soit le nombre des membres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présents ou représentés.</w:t>
            </w:r>
          </w:p>
          <w:p w14:paraId="7BFF1CAA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4FBB300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§ 3. Par dérogation aux règles précitées, l’accord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tous les membres est </w:t>
            </w:r>
            <w:proofErr w:type="gramStart"/>
            <w:r w:rsidRPr="000A1C13">
              <w:rPr>
                <w:rFonts w:cstheme="minorHAnsi"/>
                <w:lang w:val="fr-FR"/>
              </w:rPr>
              <w:t>requis:</w:t>
            </w:r>
            <w:proofErr w:type="gramEnd"/>
          </w:p>
          <w:p w14:paraId="470EC99C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1D5951DF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1° pour la décision de transformation transfrontalière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en une association ou les membres répondent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 xml:space="preserve">manière illimitée des dettes de </w:t>
            </w:r>
            <w:proofErr w:type="gramStart"/>
            <w:r w:rsidRPr="000A1C13">
              <w:rPr>
                <w:rFonts w:cstheme="minorHAnsi"/>
                <w:lang w:val="fr-FR"/>
              </w:rPr>
              <w:t>l’association;</w:t>
            </w:r>
            <w:proofErr w:type="gramEnd"/>
          </w:p>
          <w:p w14:paraId="06A69695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3FEB78F1" w14:textId="77777777" w:rsidR="00E719D5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2° si l’association n’existe pas depuis deux ans au</w:t>
            </w:r>
            <w:r>
              <w:rPr>
                <w:rFonts w:cstheme="minorHAnsi"/>
                <w:lang w:val="fr-FR"/>
              </w:rPr>
              <w:t xml:space="preserve"> </w:t>
            </w:r>
            <w:proofErr w:type="gramStart"/>
            <w:r w:rsidRPr="000A1C13">
              <w:rPr>
                <w:rFonts w:cstheme="minorHAnsi"/>
                <w:lang w:val="fr-FR"/>
              </w:rPr>
              <w:t>moins;</w:t>
            </w:r>
            <w:proofErr w:type="gramEnd"/>
          </w:p>
          <w:p w14:paraId="478B92D6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508CFB0D" w14:textId="77777777" w:rsidR="00E719D5" w:rsidRPr="000A1C13" w:rsidRDefault="00E719D5" w:rsidP="00D00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3° si les statuts prévoient qu’elle ne pourra adopter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une autre forme légale. Cette clause des statuts ne peut</w:t>
            </w:r>
            <w:r>
              <w:rPr>
                <w:rFonts w:cstheme="minorHAnsi"/>
                <w:lang w:val="fr-FR"/>
              </w:rPr>
              <w:t xml:space="preserve"> </w:t>
            </w:r>
            <w:r w:rsidRPr="00DA3DEA">
              <w:rPr>
                <w:rFonts w:cstheme="minorHAnsi"/>
                <w:lang w:val="fr-FR"/>
              </w:rPr>
              <w:t>être modifi</w:t>
            </w:r>
            <w:r w:rsidRPr="000A1C13">
              <w:rPr>
                <w:rFonts w:cstheme="minorHAnsi"/>
                <w:lang w:val="fr-FR"/>
              </w:rPr>
              <w:t>ée qu’avec l’accord de tous les membres.</w:t>
            </w:r>
          </w:p>
        </w:tc>
      </w:tr>
      <w:tr w:rsidR="00293AA9" w:rsidRPr="00D002E8" w14:paraId="59A3D01D" w14:textId="77777777" w:rsidTr="00293AA9">
        <w:trPr>
          <w:trHeight w:val="437"/>
        </w:trPr>
        <w:tc>
          <w:tcPr>
            <w:tcW w:w="1838" w:type="dxa"/>
          </w:tcPr>
          <w:p w14:paraId="3B0F91E2" w14:textId="77777777" w:rsidR="00293AA9" w:rsidRDefault="00293AA9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Ontwerp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5F5C4E50" w14:textId="77777777" w:rsidR="00293AA9" w:rsidRDefault="00293AA9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73352A47" w14:textId="77777777" w:rsidR="00293AA9" w:rsidRPr="000A1C13" w:rsidRDefault="00293AA9" w:rsidP="00E9206C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293AA9" w:rsidRPr="00853B00" w14:paraId="5BE91514" w14:textId="77777777" w:rsidTr="00D002E8">
        <w:trPr>
          <w:trHeight w:val="411"/>
        </w:trPr>
        <w:tc>
          <w:tcPr>
            <w:tcW w:w="1838" w:type="dxa"/>
          </w:tcPr>
          <w:p w14:paraId="7C73DF25" w14:textId="77777777" w:rsidR="00293AA9" w:rsidRPr="00853B00" w:rsidRDefault="00293AA9" w:rsidP="00D002E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04447CE4" w14:textId="77777777" w:rsidR="00293AA9" w:rsidRPr="00853B00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artikel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277E06A" w14:textId="77777777" w:rsidR="00293AA9" w:rsidRPr="000A1C13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293AA9" w:rsidRPr="00853B00" w14:paraId="00BAA792" w14:textId="77777777" w:rsidTr="00D002E8">
        <w:trPr>
          <w:trHeight w:val="371"/>
        </w:trPr>
        <w:tc>
          <w:tcPr>
            <w:tcW w:w="1838" w:type="dxa"/>
          </w:tcPr>
          <w:p w14:paraId="17DA808D" w14:textId="77777777" w:rsidR="00293AA9" w:rsidRDefault="00293AA9" w:rsidP="00D002E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3482645C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950EDAC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293AA9" w:rsidRPr="00853B00" w14:paraId="5407DA28" w14:textId="77777777" w:rsidTr="00D002E8">
        <w:trPr>
          <w:trHeight w:val="365"/>
        </w:trPr>
        <w:tc>
          <w:tcPr>
            <w:tcW w:w="1838" w:type="dxa"/>
          </w:tcPr>
          <w:p w14:paraId="13BB357A" w14:textId="77777777" w:rsidR="00293AA9" w:rsidRDefault="00293AA9" w:rsidP="00D002E8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954" w:type="dxa"/>
            <w:gridSpan w:val="2"/>
            <w:shd w:val="clear" w:color="auto" w:fill="auto"/>
          </w:tcPr>
          <w:p w14:paraId="0FFF4DF6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proofErr w:type="spellStart"/>
            <w:r>
              <w:rPr>
                <w:rFonts w:cstheme="minorHAnsi"/>
                <w:lang w:val="fr-FR"/>
              </w:rPr>
              <w:t>Geen</w:t>
            </w:r>
            <w:proofErr w:type="spellEnd"/>
            <w:r>
              <w:rPr>
                <w:rFonts w:cstheme="minorHAnsi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lang w:val="fr-FR"/>
              </w:rPr>
              <w:t>opmerkingen</w:t>
            </w:r>
            <w:proofErr w:type="spellEnd"/>
            <w:r>
              <w:rPr>
                <w:rFonts w:cstheme="minorHAnsi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505E7DAB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293AA9" w:rsidRPr="00D002E8" w14:paraId="18473878" w14:textId="77777777" w:rsidTr="00D002E8">
        <w:trPr>
          <w:trHeight w:val="558"/>
        </w:trPr>
        <w:tc>
          <w:tcPr>
            <w:tcW w:w="1838" w:type="dxa"/>
          </w:tcPr>
          <w:p w14:paraId="4C490832" w14:textId="77777777" w:rsidR="00293AA9" w:rsidRDefault="00293AA9" w:rsidP="00207835">
            <w:pPr>
              <w:pStyle w:val="Kop1"/>
              <w:rPr>
                <w:lang w:val="fr-FR"/>
              </w:rPr>
            </w:pPr>
            <w:bookmarkStart w:id="1" w:name="_Amendement_423"/>
            <w:bookmarkStart w:id="2" w:name="_Amendement_423_1"/>
            <w:bookmarkStart w:id="3" w:name="_Amendement_423_2"/>
            <w:bookmarkStart w:id="4" w:name="_Amendement_423_3"/>
            <w:bookmarkStart w:id="5" w:name="_Amendement_423_4"/>
            <w:bookmarkEnd w:id="1"/>
            <w:bookmarkEnd w:id="2"/>
            <w:bookmarkEnd w:id="3"/>
            <w:bookmarkEnd w:id="4"/>
            <w:bookmarkEnd w:id="5"/>
            <w:r>
              <w:rPr>
                <w:lang w:val="fr-FR"/>
              </w:rPr>
              <w:t>Amendement 423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28CC53F0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7448F0">
              <w:rPr>
                <w:rFonts w:cstheme="minorHAnsi"/>
                <w:lang w:val="nl-BE"/>
              </w:rPr>
              <w:t>In het voorges</w:t>
            </w:r>
            <w:r>
              <w:rPr>
                <w:rFonts w:cstheme="minorHAnsi"/>
                <w:lang w:val="nl-BE"/>
              </w:rPr>
              <w:t xml:space="preserve">telde artikel 14:60 de volgende </w:t>
            </w:r>
            <w:r w:rsidRPr="007448F0">
              <w:rPr>
                <w:rFonts w:cstheme="minorHAnsi"/>
                <w:lang w:val="nl-BE"/>
              </w:rPr>
              <w:t>wijzigingen aanbrengen:</w:t>
            </w:r>
          </w:p>
          <w:p w14:paraId="41BCD5A2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045C9194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7448F0">
              <w:rPr>
                <w:rFonts w:cstheme="minorHAnsi"/>
                <w:lang w:val="nl-BE"/>
              </w:rPr>
              <w:t>1° in § 1, 1°, de w</w:t>
            </w:r>
            <w:r>
              <w:rPr>
                <w:rFonts w:cstheme="minorHAnsi"/>
                <w:lang w:val="nl-BE"/>
              </w:rPr>
              <w:t xml:space="preserve">oorden “van het bevoegd orgaan” </w:t>
            </w:r>
            <w:r w:rsidRPr="007448F0">
              <w:rPr>
                <w:rFonts w:cstheme="minorHAnsi"/>
                <w:lang w:val="nl-BE"/>
              </w:rPr>
              <w:t xml:space="preserve">invoegen tussen </w:t>
            </w:r>
            <w:r>
              <w:rPr>
                <w:rFonts w:cstheme="minorHAnsi"/>
                <w:lang w:val="nl-BE"/>
              </w:rPr>
              <w:t xml:space="preserve">de woorden “van de leden” en de </w:t>
            </w:r>
            <w:r w:rsidRPr="007448F0">
              <w:rPr>
                <w:rFonts w:cstheme="minorHAnsi"/>
                <w:lang w:val="nl-BE"/>
              </w:rPr>
              <w:t>woorden “aanwezig of”;</w:t>
            </w:r>
          </w:p>
          <w:p w14:paraId="6E49998E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7448F0">
              <w:rPr>
                <w:rFonts w:cstheme="minorHAnsi"/>
                <w:lang w:val="nl-BE"/>
              </w:rPr>
              <w:t>2° in §  2, de w</w:t>
            </w:r>
            <w:r>
              <w:rPr>
                <w:rFonts w:cstheme="minorHAnsi"/>
                <w:lang w:val="nl-BE"/>
              </w:rPr>
              <w:t xml:space="preserve">oorden “een tweede vergadering” </w:t>
            </w:r>
            <w:r w:rsidRPr="007448F0">
              <w:rPr>
                <w:rFonts w:cstheme="minorHAnsi"/>
                <w:lang w:val="nl-BE"/>
              </w:rPr>
              <w:t>vervangen door de woorden “een tweede algemene</w:t>
            </w:r>
            <w:r>
              <w:rPr>
                <w:rFonts w:cstheme="minorHAnsi"/>
                <w:lang w:val="nl-BE"/>
              </w:rPr>
              <w:t xml:space="preserve"> </w:t>
            </w:r>
            <w:r w:rsidRPr="007448F0">
              <w:rPr>
                <w:rFonts w:cstheme="minorHAnsi"/>
                <w:lang w:val="nl-BE"/>
              </w:rPr>
              <w:t>vergadering voor d</w:t>
            </w:r>
            <w:r>
              <w:rPr>
                <w:rFonts w:cstheme="minorHAnsi"/>
                <w:lang w:val="nl-BE"/>
              </w:rPr>
              <w:t xml:space="preserve">e VZW of een tweede vergadering </w:t>
            </w:r>
            <w:r w:rsidRPr="007448F0">
              <w:rPr>
                <w:rFonts w:cstheme="minorHAnsi"/>
                <w:lang w:val="nl-BE"/>
              </w:rPr>
              <w:t>van het door de sta</w:t>
            </w:r>
            <w:r>
              <w:rPr>
                <w:rFonts w:cstheme="minorHAnsi"/>
                <w:lang w:val="nl-BE"/>
              </w:rPr>
              <w:t xml:space="preserve">tuten aangewezen orgaan voor de </w:t>
            </w:r>
            <w:r w:rsidRPr="007448F0">
              <w:rPr>
                <w:rFonts w:cstheme="minorHAnsi"/>
                <w:lang w:val="nl-BE"/>
              </w:rPr>
              <w:t>IVZW”.</w:t>
            </w:r>
          </w:p>
          <w:p w14:paraId="1894BEAB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D63771F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7448F0">
              <w:rPr>
                <w:rFonts w:cstheme="minorHAnsi"/>
                <w:lang w:val="nl-BE"/>
              </w:rPr>
              <w:t>VERANTWOORDING</w:t>
            </w:r>
          </w:p>
          <w:p w14:paraId="0BDDA14E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081D3EC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7448F0">
              <w:rPr>
                <w:rFonts w:cstheme="minorHAnsi"/>
                <w:lang w:val="nl-BE"/>
              </w:rPr>
              <w:t>Dit amendement verduidelijkt de strekking van de bepaling.</w:t>
            </w:r>
          </w:p>
        </w:tc>
        <w:tc>
          <w:tcPr>
            <w:tcW w:w="5953" w:type="dxa"/>
            <w:shd w:val="clear" w:color="auto" w:fill="auto"/>
          </w:tcPr>
          <w:p w14:paraId="1FABF37B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7448F0">
              <w:rPr>
                <w:rFonts w:cstheme="minorHAnsi"/>
                <w:lang w:val="fr-FR"/>
              </w:rPr>
              <w:t xml:space="preserve">Dans l’article </w:t>
            </w:r>
            <w:proofErr w:type="gramStart"/>
            <w:r w:rsidRPr="007448F0">
              <w:rPr>
                <w:rFonts w:cstheme="minorHAnsi"/>
                <w:lang w:val="fr-FR"/>
              </w:rPr>
              <w:t>14:</w:t>
            </w:r>
            <w:proofErr w:type="gramEnd"/>
            <w:r>
              <w:rPr>
                <w:rFonts w:cstheme="minorHAnsi"/>
                <w:lang w:val="fr-FR"/>
              </w:rPr>
              <w:t>60 proposé, apporter les modifi</w:t>
            </w:r>
            <w:r w:rsidRPr="007448F0">
              <w:rPr>
                <w:rFonts w:cstheme="minorHAnsi"/>
                <w:lang w:val="fr-FR"/>
              </w:rPr>
              <w:t>cations suivantes:</w:t>
            </w:r>
          </w:p>
          <w:p w14:paraId="22A87AFF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34833CCA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7448F0">
              <w:rPr>
                <w:rFonts w:cstheme="minorHAnsi"/>
                <w:lang w:val="fr-FR"/>
              </w:rPr>
              <w:t>1° au § 1er, 1°, insérer les mots “de l’organe compétent” entre les</w:t>
            </w:r>
            <w:r>
              <w:rPr>
                <w:rFonts w:cstheme="minorHAnsi"/>
                <w:lang w:val="fr-FR"/>
              </w:rPr>
              <w:t xml:space="preserve"> mots “des membres” et les mots </w:t>
            </w:r>
            <w:r w:rsidRPr="007448F0">
              <w:rPr>
                <w:rFonts w:cstheme="minorHAnsi"/>
                <w:lang w:val="fr-FR"/>
              </w:rPr>
              <w:t>“doivent être</w:t>
            </w:r>
            <w:proofErr w:type="gramStart"/>
            <w:r w:rsidRPr="007448F0">
              <w:rPr>
                <w:rFonts w:cstheme="minorHAnsi"/>
                <w:lang w:val="fr-FR"/>
              </w:rPr>
              <w:t>”;</w:t>
            </w:r>
            <w:proofErr w:type="gramEnd"/>
          </w:p>
          <w:p w14:paraId="29BFD50B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7448F0">
              <w:rPr>
                <w:rFonts w:cstheme="minorHAnsi"/>
                <w:lang w:val="fr-FR"/>
              </w:rPr>
              <w:t xml:space="preserve">2° au </w:t>
            </w:r>
            <w:proofErr w:type="gramStart"/>
            <w:r w:rsidRPr="007448F0">
              <w:rPr>
                <w:rFonts w:cstheme="minorHAnsi"/>
                <w:lang w:val="fr-FR"/>
              </w:rPr>
              <w:t>§  2</w:t>
            </w:r>
            <w:proofErr w:type="gramEnd"/>
            <w:r w:rsidRPr="007448F0">
              <w:rPr>
                <w:rFonts w:cstheme="minorHAnsi"/>
                <w:lang w:val="fr-FR"/>
              </w:rPr>
              <w:t>, remplacer les mots “une deuxième</w:t>
            </w:r>
            <w:r>
              <w:rPr>
                <w:rFonts w:cstheme="minorHAnsi"/>
                <w:lang w:val="fr-FR"/>
              </w:rPr>
              <w:t xml:space="preserve"> </w:t>
            </w:r>
            <w:r w:rsidRPr="007448F0">
              <w:rPr>
                <w:rFonts w:cstheme="minorHAnsi"/>
                <w:lang w:val="fr-FR"/>
              </w:rPr>
              <w:t>assemblée” par les mots “une deuxième assemblée générale pour</w:t>
            </w:r>
            <w:r>
              <w:rPr>
                <w:rFonts w:cstheme="minorHAnsi"/>
                <w:lang w:val="fr-FR"/>
              </w:rPr>
              <w:t xml:space="preserve"> l’ASBL ou une deuxième réunion </w:t>
            </w:r>
            <w:r w:rsidRPr="007448F0">
              <w:rPr>
                <w:rFonts w:cstheme="minorHAnsi"/>
                <w:lang w:val="fr-FR"/>
              </w:rPr>
              <w:t>de l‘organe désigné p</w:t>
            </w:r>
            <w:r>
              <w:rPr>
                <w:rFonts w:cstheme="minorHAnsi"/>
                <w:lang w:val="fr-FR"/>
              </w:rPr>
              <w:t xml:space="preserve">ar les statuts pour l’AISBL” et </w:t>
            </w:r>
            <w:r w:rsidRPr="007448F0">
              <w:rPr>
                <w:rFonts w:cstheme="minorHAnsi"/>
                <w:lang w:val="fr-FR"/>
              </w:rPr>
              <w:t>remplacer les mots</w:t>
            </w:r>
            <w:r>
              <w:rPr>
                <w:rFonts w:cstheme="minorHAnsi"/>
                <w:lang w:val="fr-FR"/>
              </w:rPr>
              <w:t xml:space="preserve"> “Cette assemblée” par les mots </w:t>
            </w:r>
            <w:r w:rsidRPr="007448F0">
              <w:rPr>
                <w:rFonts w:cstheme="minorHAnsi"/>
                <w:lang w:val="fr-FR"/>
              </w:rPr>
              <w:t>“Respectivement cette assemblée ou réunion”.</w:t>
            </w:r>
          </w:p>
          <w:p w14:paraId="3F5CE1A9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6949E1FD" w14:textId="77777777" w:rsidR="00293AA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BB3E89">
              <w:rPr>
                <w:rFonts w:cstheme="minorHAnsi"/>
                <w:lang w:val="fr-FR"/>
              </w:rPr>
              <w:t>JUSTIFICATION</w:t>
            </w:r>
          </w:p>
          <w:p w14:paraId="526F9FB2" w14:textId="77777777" w:rsidR="00293AA9" w:rsidRPr="00BB3E89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1F4E4203" w14:textId="77777777" w:rsidR="00293AA9" w:rsidRPr="007448F0" w:rsidRDefault="00293AA9" w:rsidP="00D002E8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7448F0">
              <w:rPr>
                <w:rFonts w:cstheme="minorHAnsi"/>
                <w:lang w:val="fr-FR"/>
              </w:rPr>
              <w:t>Cet amendement précise la portée de la disposition.</w:t>
            </w:r>
          </w:p>
        </w:tc>
      </w:tr>
    </w:tbl>
    <w:p w14:paraId="7F4E2317" w14:textId="77777777" w:rsidR="001203BA" w:rsidRPr="007448F0" w:rsidRDefault="001203BA" w:rsidP="001203BA">
      <w:pPr>
        <w:rPr>
          <w:lang w:val="fr-FR"/>
        </w:rPr>
      </w:pPr>
    </w:p>
    <w:p w14:paraId="73A51ED7" w14:textId="77777777" w:rsidR="00A820D7" w:rsidRPr="007448F0" w:rsidRDefault="00A820D7">
      <w:pPr>
        <w:rPr>
          <w:lang w:val="fr-FR"/>
        </w:rPr>
      </w:pPr>
    </w:p>
    <w:sectPr w:rsidR="00A820D7" w:rsidRPr="007448F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860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1BAC"/>
    <w:rsid w:val="00193578"/>
    <w:rsid w:val="001B29CB"/>
    <w:rsid w:val="001C36B7"/>
    <w:rsid w:val="001D27E0"/>
    <w:rsid w:val="001D5AD6"/>
    <w:rsid w:val="00207835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3AA9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9BF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B4B0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48F0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17848"/>
    <w:rsid w:val="00833A2D"/>
    <w:rsid w:val="008423F9"/>
    <w:rsid w:val="00842D8E"/>
    <w:rsid w:val="00853B00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5F17"/>
    <w:rsid w:val="00B41CE6"/>
    <w:rsid w:val="00B43558"/>
    <w:rsid w:val="00B44890"/>
    <w:rsid w:val="00B50606"/>
    <w:rsid w:val="00B61E27"/>
    <w:rsid w:val="00B6333A"/>
    <w:rsid w:val="00B779CF"/>
    <w:rsid w:val="00B97CC3"/>
    <w:rsid w:val="00BA1659"/>
    <w:rsid w:val="00BA26D2"/>
    <w:rsid w:val="00BB376A"/>
    <w:rsid w:val="00BB3E89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D002E8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15370"/>
    <w:rsid w:val="00E15CFE"/>
    <w:rsid w:val="00E21F8D"/>
    <w:rsid w:val="00E26DE4"/>
    <w:rsid w:val="00E511E0"/>
    <w:rsid w:val="00E719D5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48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207835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customStyle="1" w:styleId="Kop1Teken">
    <w:name w:val="Kop 1 Teken"/>
    <w:basedOn w:val="Standaardalinea-lettertype"/>
    <w:link w:val="Kop1"/>
    <w:uiPriority w:val="9"/>
    <w:rsid w:val="00207835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20783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664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2019-11-04T14:47:00Z</dcterms:created>
  <dcterms:modified xsi:type="dcterms:W3CDTF">2022-02-07T11:42:00Z</dcterms:modified>
</cp:coreProperties>
</file>