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09"/>
        <w:gridCol w:w="5103"/>
        <w:gridCol w:w="5953"/>
      </w:tblGrid>
      <w:tr w:rsidR="001203BA" w:rsidRPr="009460AE" w14:paraId="5A38ED41" w14:textId="77777777" w:rsidTr="00554202">
        <w:tc>
          <w:tcPr>
            <w:tcW w:w="2689" w:type="dxa"/>
            <w:gridSpan w:val="2"/>
          </w:tcPr>
          <w:p w14:paraId="356BD72F" w14:textId="77777777" w:rsidR="001203BA" w:rsidRPr="00B07AC9" w:rsidRDefault="00E719D5" w:rsidP="00671CD1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14</w:t>
            </w:r>
            <w:r w:rsidR="00B14FC3">
              <w:rPr>
                <w:b/>
                <w:sz w:val="32"/>
                <w:szCs w:val="32"/>
                <w:lang w:val="nl-BE"/>
              </w:rPr>
              <w:t>:61</w:t>
            </w:r>
          </w:p>
        </w:tc>
        <w:tc>
          <w:tcPr>
            <w:tcW w:w="11056" w:type="dxa"/>
            <w:gridSpan w:val="2"/>
            <w:shd w:val="clear" w:color="auto" w:fill="auto"/>
          </w:tcPr>
          <w:p w14:paraId="052AE8FD" w14:textId="77777777" w:rsidR="001B29CB" w:rsidRPr="00C47A8C" w:rsidRDefault="001B29CB" w:rsidP="00671CD1">
            <w:pPr>
              <w:jc w:val="center"/>
              <w:rPr>
                <w:b/>
                <w:sz w:val="32"/>
                <w:szCs w:val="32"/>
                <w:lang w:val="nl-BE"/>
              </w:rPr>
            </w:pPr>
          </w:p>
        </w:tc>
      </w:tr>
      <w:tr w:rsidR="001203BA" w:rsidRPr="00441E30" w14:paraId="1B64F3D4" w14:textId="77777777" w:rsidTr="00554202">
        <w:tc>
          <w:tcPr>
            <w:tcW w:w="1980" w:type="dxa"/>
          </w:tcPr>
          <w:p w14:paraId="54F2AB0E" w14:textId="77777777" w:rsidR="001203BA" w:rsidRPr="00B07AC9" w:rsidRDefault="001203BA" w:rsidP="00671CD1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7C992D1F" w14:textId="77777777" w:rsidR="001203BA" w:rsidRPr="007B17CA" w:rsidRDefault="001203BA" w:rsidP="00671CD1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B14FC3" w:rsidRPr="00671CD1" w14:paraId="289EC8A8" w14:textId="77777777" w:rsidTr="00554202">
        <w:trPr>
          <w:trHeight w:val="1937"/>
        </w:trPr>
        <w:tc>
          <w:tcPr>
            <w:tcW w:w="1980" w:type="dxa"/>
          </w:tcPr>
          <w:p w14:paraId="0AEABF58" w14:textId="77777777" w:rsidR="00B14FC3" w:rsidRDefault="00B14FC3" w:rsidP="00671CD1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ABB56B4" w14:textId="77777777" w:rsidR="00B14FC3" w:rsidRPr="00B14FC3" w:rsidRDefault="00B14FC3" w:rsidP="00671CD1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De grensoverschrijdende omzetting wordt,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op straffe van nietigheid, bij authentieke akte vastgesteld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door de notaris aangeduid in het in artikel 14:54 bedoelde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omzettingsvoorstel. In de authentieke akte wordt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de conclusie van het verslag van de commissaris of van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de bedrijfsrevisor of externe accountant overgenomen.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De staat van actief en passief wordt er aangehecht.</w:t>
            </w:r>
          </w:p>
        </w:tc>
        <w:tc>
          <w:tcPr>
            <w:tcW w:w="5953" w:type="dxa"/>
            <w:shd w:val="clear" w:color="auto" w:fill="auto"/>
          </w:tcPr>
          <w:p w14:paraId="2FFA1906" w14:textId="77777777" w:rsidR="00B14FC3" w:rsidRPr="000A1C13" w:rsidRDefault="00B14FC3" w:rsidP="00671CD1">
            <w:pPr>
              <w:spacing w:after="0" w:line="240" w:lineRule="auto"/>
              <w:jc w:val="both"/>
              <w:rPr>
                <w:rFonts w:eastAsia="Calibri"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La transformation transfrontalière est,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à peine de nullité, constatée par un acte authentique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dressé par le notaire désigné dans la proposition de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 xml:space="preserve">transformation visée à l’article </w:t>
            </w:r>
            <w:proofErr w:type="gramStart"/>
            <w:r w:rsidRPr="000A1C13">
              <w:rPr>
                <w:rFonts w:cstheme="minorHAnsi"/>
                <w:lang w:val="fr-FR"/>
              </w:rPr>
              <w:t>14:</w:t>
            </w:r>
            <w:proofErr w:type="gramEnd"/>
            <w:r w:rsidRPr="000A1C13">
              <w:rPr>
                <w:rFonts w:cstheme="minorHAnsi"/>
                <w:lang w:val="fr-FR"/>
              </w:rPr>
              <w:t>54. L’acte authentique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reproduit les conclusions du rapport établi par le commissaire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ou par le réviseur d’entreprises ou l’</w:t>
            </w:r>
            <w:r w:rsidRPr="00DA3DEA">
              <w:rPr>
                <w:rFonts w:cstheme="minorHAnsi"/>
                <w:lang w:val="fr-FR"/>
              </w:rPr>
              <w:t>expert-comptable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externe. L’état résumant la situation active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et passive y est joint.</w:t>
            </w:r>
          </w:p>
        </w:tc>
      </w:tr>
      <w:tr w:rsidR="00953793" w:rsidRPr="00671CD1" w14:paraId="072A6AF9" w14:textId="77777777" w:rsidTr="00953793">
        <w:trPr>
          <w:trHeight w:val="423"/>
        </w:trPr>
        <w:tc>
          <w:tcPr>
            <w:tcW w:w="1980" w:type="dxa"/>
          </w:tcPr>
          <w:p w14:paraId="6E84A7D3" w14:textId="77777777" w:rsidR="00953793" w:rsidRPr="00E373E6" w:rsidRDefault="00953793" w:rsidP="00E9206C">
            <w:pPr>
              <w:spacing w:after="0"/>
            </w:pPr>
            <w:proofErr w:type="spellStart"/>
            <w:r w:rsidRPr="00E373E6">
              <w:t>Ontwerp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72273ED6" w14:textId="77777777" w:rsidR="00953793" w:rsidRPr="00E373E6" w:rsidRDefault="00953793" w:rsidP="00E9206C">
            <w:pPr>
              <w:spacing w:after="0"/>
            </w:pPr>
            <w:proofErr w:type="spellStart"/>
            <w:r w:rsidRPr="00E373E6">
              <w:t>Geen</w:t>
            </w:r>
            <w:proofErr w:type="spellEnd"/>
            <w:r w:rsidRPr="00E373E6">
              <w:t xml:space="preserve"> </w:t>
            </w:r>
            <w:proofErr w:type="spellStart"/>
            <w:r w:rsidRPr="00E373E6"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66A29B3D" w14:textId="77777777" w:rsidR="00953793" w:rsidRDefault="00953793" w:rsidP="00E9206C">
            <w:pPr>
              <w:spacing w:after="0"/>
            </w:pPr>
            <w:r w:rsidRPr="00E373E6">
              <w:t xml:space="preserve">Pas </w:t>
            </w:r>
            <w:proofErr w:type="spellStart"/>
            <w:r w:rsidRPr="00E373E6">
              <w:t>d’article</w:t>
            </w:r>
            <w:proofErr w:type="spellEnd"/>
            <w:r>
              <w:t>.</w:t>
            </w:r>
          </w:p>
        </w:tc>
      </w:tr>
      <w:tr w:rsidR="00953793" w:rsidRPr="00F63B62" w14:paraId="7A28BAD5" w14:textId="77777777" w:rsidTr="00554202">
        <w:trPr>
          <w:trHeight w:val="405"/>
        </w:trPr>
        <w:tc>
          <w:tcPr>
            <w:tcW w:w="1980" w:type="dxa"/>
          </w:tcPr>
          <w:p w14:paraId="015696F2" w14:textId="77777777" w:rsidR="00953793" w:rsidRPr="00F63B62" w:rsidRDefault="00953793" w:rsidP="00671CD1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71E97623" w14:textId="77777777" w:rsidR="00953793" w:rsidRPr="00F63B62" w:rsidRDefault="00953793" w:rsidP="00671CD1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artikel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24660DB6" w14:textId="77777777" w:rsidR="00953793" w:rsidRPr="000A1C13" w:rsidRDefault="00953793" w:rsidP="00671CD1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d’article.</w:t>
            </w:r>
          </w:p>
        </w:tc>
      </w:tr>
      <w:tr w:rsidR="00953793" w:rsidRPr="00F63B62" w14:paraId="7385CF61" w14:textId="77777777" w:rsidTr="00671CD1">
        <w:trPr>
          <w:trHeight w:val="417"/>
        </w:trPr>
        <w:tc>
          <w:tcPr>
            <w:tcW w:w="1980" w:type="dxa"/>
          </w:tcPr>
          <w:p w14:paraId="079474AB" w14:textId="77777777" w:rsidR="00953793" w:rsidRDefault="00953793" w:rsidP="00671CD1">
            <w:pPr>
              <w:spacing w:after="0" w:line="240" w:lineRule="auto"/>
              <w:rPr>
                <w:rFonts w:cs="Calibri"/>
                <w:lang w:val="fr-FR"/>
              </w:rPr>
            </w:pPr>
            <w:bookmarkStart w:id="0" w:name="_GoBack"/>
            <w:bookmarkEnd w:id="0"/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654C7E30" w14:textId="77777777" w:rsidR="00953793" w:rsidRDefault="00953793" w:rsidP="00671CD1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opmerkingen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4291EEE0" w14:textId="77777777" w:rsidR="00953793" w:rsidRDefault="00953793" w:rsidP="00671CD1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de remarques.</w:t>
            </w:r>
          </w:p>
        </w:tc>
      </w:tr>
      <w:tr w:rsidR="00953793" w:rsidRPr="00F63B62" w14:paraId="0F18F3BA" w14:textId="77777777" w:rsidTr="00554202">
        <w:trPr>
          <w:trHeight w:val="410"/>
        </w:trPr>
        <w:tc>
          <w:tcPr>
            <w:tcW w:w="1980" w:type="dxa"/>
          </w:tcPr>
          <w:p w14:paraId="6F71AB6E" w14:textId="77777777" w:rsidR="00953793" w:rsidRDefault="00953793" w:rsidP="00671CD1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76CA8A14" w14:textId="77777777" w:rsidR="00953793" w:rsidRDefault="00953793" w:rsidP="00671CD1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opmerkingen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5320097D" w14:textId="77777777" w:rsidR="00953793" w:rsidRDefault="00953793" w:rsidP="00671CD1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de remarques.</w:t>
            </w:r>
          </w:p>
        </w:tc>
      </w:tr>
    </w:tbl>
    <w:p w14:paraId="4B4AEEF3" w14:textId="77777777" w:rsidR="001203BA" w:rsidRPr="0047203B" w:rsidRDefault="001203BA" w:rsidP="001203BA">
      <w:pPr>
        <w:rPr>
          <w:lang w:val="fr-FR"/>
        </w:rPr>
      </w:pPr>
    </w:p>
    <w:p w14:paraId="14BDCBF4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74BB"/>
    <w:rsid w:val="0002054A"/>
    <w:rsid w:val="00020B72"/>
    <w:rsid w:val="00021FCB"/>
    <w:rsid w:val="00025BD5"/>
    <w:rsid w:val="00036F85"/>
    <w:rsid w:val="00076730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91BAC"/>
    <w:rsid w:val="00193578"/>
    <w:rsid w:val="001B29CB"/>
    <w:rsid w:val="001C36B7"/>
    <w:rsid w:val="001D27E0"/>
    <w:rsid w:val="001D5AD6"/>
    <w:rsid w:val="00214ADA"/>
    <w:rsid w:val="002337A0"/>
    <w:rsid w:val="00251BBF"/>
    <w:rsid w:val="00253930"/>
    <w:rsid w:val="00262FAA"/>
    <w:rsid w:val="0026584A"/>
    <w:rsid w:val="00274C37"/>
    <w:rsid w:val="00276531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C38B1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64B4"/>
    <w:rsid w:val="005415E2"/>
    <w:rsid w:val="00552D57"/>
    <w:rsid w:val="00554202"/>
    <w:rsid w:val="00562DB1"/>
    <w:rsid w:val="00585D82"/>
    <w:rsid w:val="005A3C17"/>
    <w:rsid w:val="005A7179"/>
    <w:rsid w:val="005B25E3"/>
    <w:rsid w:val="005B2F3D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71CD1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6E5F"/>
    <w:rsid w:val="009172D4"/>
    <w:rsid w:val="00931894"/>
    <w:rsid w:val="00935E60"/>
    <w:rsid w:val="00943313"/>
    <w:rsid w:val="009460AE"/>
    <w:rsid w:val="00953793"/>
    <w:rsid w:val="009627E9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52BE"/>
    <w:rsid w:val="00A72BBC"/>
    <w:rsid w:val="00A7675D"/>
    <w:rsid w:val="00A820D7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7CC3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22227"/>
    <w:rsid w:val="00D42D9B"/>
    <w:rsid w:val="00D46773"/>
    <w:rsid w:val="00D66D82"/>
    <w:rsid w:val="00D8405B"/>
    <w:rsid w:val="00D931FB"/>
    <w:rsid w:val="00D96002"/>
    <w:rsid w:val="00DB5C97"/>
    <w:rsid w:val="00DE1FCC"/>
    <w:rsid w:val="00E15370"/>
    <w:rsid w:val="00E15CFE"/>
    <w:rsid w:val="00E21F8D"/>
    <w:rsid w:val="00E26DE4"/>
    <w:rsid w:val="00E511E0"/>
    <w:rsid w:val="00E719D5"/>
    <w:rsid w:val="00E72BF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234EA"/>
    <w:rsid w:val="00F26581"/>
    <w:rsid w:val="00F301AA"/>
    <w:rsid w:val="00F31712"/>
    <w:rsid w:val="00F31AEF"/>
    <w:rsid w:val="00F54E2C"/>
    <w:rsid w:val="00F61965"/>
    <w:rsid w:val="00F63B62"/>
    <w:rsid w:val="00F63D28"/>
    <w:rsid w:val="00F67171"/>
    <w:rsid w:val="00F74E3F"/>
    <w:rsid w:val="00F9299A"/>
    <w:rsid w:val="00F9557F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F3BC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8</cp:revision>
  <dcterms:created xsi:type="dcterms:W3CDTF">2019-11-04T14:48:00Z</dcterms:created>
  <dcterms:modified xsi:type="dcterms:W3CDTF">2022-02-07T12:10:00Z</dcterms:modified>
</cp:coreProperties>
</file>