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4536"/>
        <w:gridCol w:w="5953"/>
      </w:tblGrid>
      <w:tr w:rsidR="001203BA" w:rsidRPr="009460AE" w14:paraId="7576E5DD" w14:textId="77777777" w:rsidTr="00C03469">
        <w:tc>
          <w:tcPr>
            <w:tcW w:w="3256" w:type="dxa"/>
            <w:gridSpan w:val="2"/>
          </w:tcPr>
          <w:p w14:paraId="6B22138D" w14:textId="77777777" w:rsidR="001203BA" w:rsidRPr="00B07AC9" w:rsidRDefault="00B60CD0" w:rsidP="0062773B">
            <w:pPr>
              <w:rPr>
                <w:b/>
                <w:sz w:val="32"/>
                <w:szCs w:val="32"/>
                <w:lang w:val="nl-BE"/>
              </w:rPr>
            </w:pPr>
            <w:r w:rsidRPr="00B60CD0">
              <w:rPr>
                <w:b/>
                <w:sz w:val="32"/>
                <w:szCs w:val="32"/>
                <w:lang w:val="nl-BE"/>
              </w:rPr>
              <w:t>ARTIKEL 14:66</w:t>
            </w:r>
          </w:p>
        </w:tc>
        <w:tc>
          <w:tcPr>
            <w:tcW w:w="10489" w:type="dxa"/>
            <w:gridSpan w:val="2"/>
            <w:shd w:val="clear" w:color="auto" w:fill="auto"/>
          </w:tcPr>
          <w:p w14:paraId="1554E8E2" w14:textId="77777777" w:rsidR="001B29CB" w:rsidRPr="00C47A8C" w:rsidRDefault="001B29CB" w:rsidP="0062773B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5D603C8F" w14:textId="77777777" w:rsidTr="00C03469">
        <w:tc>
          <w:tcPr>
            <w:tcW w:w="1980" w:type="dxa"/>
          </w:tcPr>
          <w:p w14:paraId="6D5D3F3A" w14:textId="77777777" w:rsidR="001203BA" w:rsidRPr="00B07AC9" w:rsidRDefault="001203BA" w:rsidP="0062773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2D4F7C4C" w14:textId="77777777" w:rsidR="001203BA" w:rsidRPr="007B17CA" w:rsidRDefault="001203BA" w:rsidP="0062773B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343DF" w:rsidRPr="0062773B" w14:paraId="0FDF8FCA" w14:textId="77777777" w:rsidTr="0005393D">
        <w:trPr>
          <w:trHeight w:val="4309"/>
        </w:trPr>
        <w:tc>
          <w:tcPr>
            <w:tcW w:w="1980" w:type="dxa"/>
          </w:tcPr>
          <w:p w14:paraId="500028B1" w14:textId="77777777" w:rsidR="00F343DF" w:rsidRDefault="00F343DF" w:rsidP="0062773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125F9F9" w14:textId="77777777" w:rsidR="00F343DF" w:rsidRDefault="00F343DF" w:rsidP="0062773B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zich omzettende rechtspersoon legt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toedoen van haar bestuursorgaan een staat van</w:t>
            </w:r>
            <w:r w:rsidR="0062773B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activa en passiva neer bij de Nationale Bank van België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die haar vermogenstoestand weergeeft op het ogenblik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omzetting.</w:t>
            </w:r>
          </w:p>
          <w:p w14:paraId="18F39FF9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54CD71E" w14:textId="77777777" w:rsidR="00F343DF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Deze neerlegging gebeurt binnen dertig dagen nadat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authentieke omzettingsakte is verleden.</w:t>
            </w:r>
          </w:p>
          <w:p w14:paraId="7FE5748F" w14:textId="77777777" w:rsidR="00C03469" w:rsidRDefault="00C03469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0B589E9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Indien de staat van actief en passief niet werd neergelegd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zoals bepaald in het tweede lid, wordt de door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derden geleden schade, behoudens tegenbewijs, geacht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voort te vloeien uit dit verzuim.</w:t>
            </w:r>
          </w:p>
          <w:p w14:paraId="6F788223" w14:textId="77777777" w:rsidR="00F343DF" w:rsidRPr="000A1C13" w:rsidRDefault="00F343DF" w:rsidP="0062773B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7D257864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Koning kan het model van de staat van activa 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passiva vaststellen.</w:t>
            </w:r>
          </w:p>
        </w:tc>
        <w:tc>
          <w:tcPr>
            <w:tcW w:w="5953" w:type="dxa"/>
            <w:shd w:val="clear" w:color="auto" w:fill="auto"/>
          </w:tcPr>
          <w:p w14:paraId="218881F3" w14:textId="77777777" w:rsidR="00F343DF" w:rsidRPr="00F343DF" w:rsidRDefault="00F343DF" w:rsidP="0062773B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personne morale qui se transforme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dépose à la Banque nationale de Belgique, par le biais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son organe d’administration, un état résumant sa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situa</w:t>
            </w:r>
            <w:r w:rsidR="00C03469">
              <w:rPr>
                <w:rFonts w:cstheme="minorHAnsi"/>
                <w:lang w:val="fr-FR"/>
              </w:rPr>
              <w:t>tion active et passive qui refl</w:t>
            </w:r>
            <w:r w:rsidRPr="000A1C13">
              <w:rPr>
                <w:rFonts w:cstheme="minorHAnsi"/>
                <w:lang w:val="fr-FR"/>
              </w:rPr>
              <w:t>ète sa situation patrimoniale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 moment de la transformation.</w:t>
            </w:r>
          </w:p>
          <w:p w14:paraId="0CEE173B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4FDDEA5" w14:textId="77777777" w:rsidR="00F343DF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Ce dépôt a lieu dans les trente jours qui suivent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réception de l’acte authentique de transformation.</w:t>
            </w:r>
          </w:p>
          <w:p w14:paraId="3A5319DD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2113F66C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Si l’état résumant la situation active et passive n’a pas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été déposé conformément aux dispositions de l’alinéa 2,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 dommage subi par les tiers est, sauf preuve contraire,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présumé résulter de cette omission.</w:t>
            </w:r>
          </w:p>
          <w:p w14:paraId="15E15D7C" w14:textId="77777777" w:rsidR="00F343DF" w:rsidRPr="000A1C13" w:rsidRDefault="00F343DF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1CC2622" w14:textId="77777777" w:rsidR="00F343DF" w:rsidRPr="000A1C13" w:rsidRDefault="00F343DF" w:rsidP="00627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Le Roi peut déterminer le modèle de l’état résumant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la situation active et passive.</w:t>
            </w:r>
          </w:p>
        </w:tc>
      </w:tr>
      <w:tr w:rsidR="0005393D" w:rsidRPr="0062773B" w14:paraId="578571C3" w14:textId="77777777" w:rsidTr="0005393D">
        <w:trPr>
          <w:trHeight w:val="409"/>
        </w:trPr>
        <w:tc>
          <w:tcPr>
            <w:tcW w:w="1980" w:type="dxa"/>
          </w:tcPr>
          <w:p w14:paraId="0E9BFD06" w14:textId="77777777" w:rsidR="0005393D" w:rsidRDefault="0005393D" w:rsidP="00E9206C">
            <w:pPr>
              <w:spacing w:after="0"/>
            </w:pPr>
            <w:proofErr w:type="spellStart"/>
            <w: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114681FC" w14:textId="77777777" w:rsidR="0005393D" w:rsidRDefault="0005393D" w:rsidP="00E9206C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8F559DE" w14:textId="77777777" w:rsidR="0005393D" w:rsidRDefault="0005393D" w:rsidP="00E9206C">
            <w:pPr>
              <w:spacing w:after="0"/>
            </w:pPr>
            <w:r>
              <w:t xml:space="preserve">Pas </w:t>
            </w:r>
            <w:proofErr w:type="spellStart"/>
            <w:r>
              <w:t>d’article</w:t>
            </w:r>
            <w:proofErr w:type="spellEnd"/>
            <w:r>
              <w:t>.</w:t>
            </w:r>
          </w:p>
        </w:tc>
      </w:tr>
      <w:tr w:rsidR="0005393D" w:rsidRPr="00860F17" w14:paraId="136B8944" w14:textId="77777777" w:rsidTr="0062773B">
        <w:trPr>
          <w:trHeight w:val="403"/>
        </w:trPr>
        <w:tc>
          <w:tcPr>
            <w:tcW w:w="1980" w:type="dxa"/>
          </w:tcPr>
          <w:p w14:paraId="356A370F" w14:textId="77777777" w:rsidR="0005393D" w:rsidRPr="00860F17" w:rsidRDefault="0005393D" w:rsidP="0062773B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46CEFF88" w14:textId="77777777" w:rsidR="0005393D" w:rsidRPr="00860F17" w:rsidRDefault="0005393D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E2DF062" w14:textId="77777777" w:rsidR="0005393D" w:rsidRPr="000A1C13" w:rsidRDefault="0005393D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05393D" w:rsidRPr="00860F17" w14:paraId="2B8638B0" w14:textId="77777777" w:rsidTr="0062773B">
        <w:trPr>
          <w:trHeight w:val="463"/>
        </w:trPr>
        <w:tc>
          <w:tcPr>
            <w:tcW w:w="1980" w:type="dxa"/>
          </w:tcPr>
          <w:p w14:paraId="1F7DA8E2" w14:textId="77777777" w:rsidR="0005393D" w:rsidRDefault="0005393D" w:rsidP="0062773B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32C49BE7" w14:textId="77777777" w:rsidR="0005393D" w:rsidRDefault="0005393D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B9DB06E" w14:textId="77777777" w:rsidR="0005393D" w:rsidRDefault="0005393D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05393D" w:rsidRPr="00860F17" w14:paraId="7F358C7C" w14:textId="77777777" w:rsidTr="0062773B">
        <w:trPr>
          <w:trHeight w:val="427"/>
        </w:trPr>
        <w:tc>
          <w:tcPr>
            <w:tcW w:w="1980" w:type="dxa"/>
          </w:tcPr>
          <w:p w14:paraId="573991C7" w14:textId="77777777" w:rsidR="0005393D" w:rsidRDefault="0005393D" w:rsidP="0062773B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69A50F7" w14:textId="77777777" w:rsidR="0005393D" w:rsidRDefault="0005393D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920ED1E" w14:textId="77777777" w:rsidR="0005393D" w:rsidRDefault="0005393D" w:rsidP="006277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445B632A" w14:textId="77777777" w:rsidR="001203BA" w:rsidRPr="0047203B" w:rsidRDefault="001203BA" w:rsidP="001203BA">
      <w:pPr>
        <w:rPr>
          <w:lang w:val="fr-FR"/>
        </w:rPr>
      </w:pPr>
    </w:p>
    <w:p w14:paraId="00F80E50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5393D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2773B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0F17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0CD0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03469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6342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DFD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2019-11-04T14:52:00Z</dcterms:created>
  <dcterms:modified xsi:type="dcterms:W3CDTF">2022-02-07T12:15:00Z</dcterms:modified>
</cp:coreProperties>
</file>