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4252"/>
        <w:gridCol w:w="5812"/>
      </w:tblGrid>
      <w:tr w:rsidR="001203BA" w:rsidRPr="009460AE" w14:paraId="2B8A6DA1" w14:textId="77777777" w:rsidTr="00145B92">
        <w:tc>
          <w:tcPr>
            <w:tcW w:w="3681" w:type="dxa"/>
            <w:gridSpan w:val="2"/>
          </w:tcPr>
          <w:p w14:paraId="1C181831" w14:textId="77777777" w:rsidR="001203BA" w:rsidRPr="00B07AC9" w:rsidRDefault="0068143A" w:rsidP="007B1FC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3340F4">
              <w:rPr>
                <w:b/>
                <w:sz w:val="32"/>
                <w:szCs w:val="32"/>
                <w:lang w:val="nl-BE"/>
              </w:rPr>
              <w:t>:77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6364C29A" w14:textId="77777777" w:rsidR="001B29CB" w:rsidRPr="00C47A8C" w:rsidRDefault="001B29CB" w:rsidP="007B1FC4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48E1BA6B" w14:textId="77777777" w:rsidTr="00145B92">
        <w:tc>
          <w:tcPr>
            <w:tcW w:w="1980" w:type="dxa"/>
          </w:tcPr>
          <w:p w14:paraId="789C919A" w14:textId="77777777" w:rsidR="001203BA" w:rsidRPr="00B07AC9" w:rsidRDefault="001203BA" w:rsidP="007B1FC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98AB22A" w14:textId="77777777" w:rsidR="001203BA" w:rsidRPr="007B17CA" w:rsidRDefault="001203BA" w:rsidP="007B1FC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340F4" w:rsidRPr="00C93E93" w14:paraId="4F7CCD6A" w14:textId="77777777" w:rsidTr="00C93E93">
        <w:trPr>
          <w:trHeight w:val="7040"/>
        </w:trPr>
        <w:tc>
          <w:tcPr>
            <w:tcW w:w="1980" w:type="dxa"/>
          </w:tcPr>
          <w:p w14:paraId="16B96773" w14:textId="77777777" w:rsidR="003340F4" w:rsidRDefault="003340F4" w:rsidP="007B1FC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1C272AE" w14:textId="77777777" w:rsidR="003340F4" w:rsidRPr="000A1C13" w:rsidRDefault="003340F4" w:rsidP="007B1FC4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§ 1. Onverminderd strengere bepalingen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statuten en de bijzondere bepalingen van dit artikel,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beslist het bestuursorgaan tot de grensoverschrijdende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 overeenkomstig de volgende regels van aanwezigheid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en meerderheid:</w:t>
            </w:r>
          </w:p>
          <w:p w14:paraId="7BB6571F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D393F45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1° op de vergaderin</w:t>
            </w:r>
            <w:r w:rsidRPr="00CF6703">
              <w:rPr>
                <w:rFonts w:cstheme="minorHAnsi"/>
                <w:lang w:val="nl-BE"/>
              </w:rPr>
              <w:t>g moeten ten minste twee derden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bestuurders aanwezig of vertegenwoordigd zijn;</w:t>
            </w:r>
          </w:p>
          <w:p w14:paraId="383CE90C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3C546EE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2° een voorstel tot</w:t>
            </w:r>
            <w:r w:rsidRPr="00CF6703">
              <w:rPr>
                <w:rFonts w:cstheme="minorHAnsi"/>
                <w:lang w:val="nl-BE"/>
              </w:rPr>
              <w:t xml:space="preserve">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is alleen dan aangenomen, wanneer het vier vijfde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stemmen heeft verkregen.</w:t>
            </w:r>
          </w:p>
          <w:p w14:paraId="123EDC93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0A0AB27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§ 2. In afwijking v</w:t>
            </w:r>
            <w:r w:rsidRPr="00CF6703">
              <w:rPr>
                <w:rFonts w:cstheme="minorHAnsi"/>
                <w:lang w:val="nl-BE"/>
              </w:rPr>
              <w:t>an de bovenstaande regels is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instemming van alle bestuurders vereist:</w:t>
            </w:r>
          </w:p>
          <w:p w14:paraId="7ED2B009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73B8444D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1° voor het besluit tot</w:t>
            </w:r>
            <w:r w:rsidRPr="00CF6703">
              <w:rPr>
                <w:rFonts w:cstheme="minorHAnsi"/>
                <w:lang w:val="nl-BE"/>
              </w:rPr>
              <w:t xml:space="preserve">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in een stichting waarin de </w:t>
            </w:r>
            <w:r w:rsidRPr="00CF6703">
              <w:rPr>
                <w:rFonts w:cstheme="minorHAnsi"/>
                <w:lang w:val="nl-BE"/>
              </w:rPr>
              <w:t>bestuurders onbeperkt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aansprakelijk zijn voor de schulden van de stichting;</w:t>
            </w:r>
          </w:p>
          <w:p w14:paraId="7F2121B3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3516C73D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2° indien de stichting niet ten minste twee jaar</w:t>
            </w:r>
          </w:p>
          <w:p w14:paraId="45E648B3" w14:textId="77777777" w:rsidR="003340F4" w:rsidRPr="000A1C13" w:rsidRDefault="003340F4" w:rsidP="007B1FC4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bestaat;</w:t>
            </w:r>
          </w:p>
          <w:p w14:paraId="2E7FD731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796F364F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NL"/>
              </w:rPr>
            </w:pPr>
            <w:r w:rsidRPr="000A1C13">
              <w:rPr>
                <w:rFonts w:cstheme="minorHAnsi"/>
                <w:lang w:val="nl-BE"/>
              </w:rPr>
              <w:t>3° indien in de statuten</w:t>
            </w:r>
            <w:r w:rsidRPr="00CF6703">
              <w:rPr>
                <w:rFonts w:cstheme="minorHAnsi"/>
                <w:lang w:val="nl-BE"/>
              </w:rPr>
              <w:t xml:space="preserve"> is bepaald dat zij geen andere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rechtsvorm mag aannemen. Deze bepaling van de </w:t>
            </w:r>
            <w:r w:rsidRPr="00CF6703">
              <w:rPr>
                <w:rFonts w:cstheme="minorHAnsi"/>
                <w:lang w:val="nl-BE"/>
              </w:rPr>
              <w:t>statuten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kan slechts met instemming van alle bestuurders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worden gewijzigd.</w:t>
            </w:r>
          </w:p>
        </w:tc>
        <w:tc>
          <w:tcPr>
            <w:tcW w:w="5812" w:type="dxa"/>
            <w:shd w:val="clear" w:color="auto" w:fill="auto"/>
          </w:tcPr>
          <w:p w14:paraId="3A8367CA" w14:textId="77777777" w:rsidR="003340F4" w:rsidRPr="000A1C13" w:rsidRDefault="003340F4" w:rsidP="007B1FC4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§ 1er. Sous réserve des dispositions particulières</w:t>
            </w:r>
            <w:r w:rsidR="007B1FC4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énoncées dans le présent article et de dispositions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statutaires plus rigoureuses, l’organe d’administration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décide de la transformation transfrontalière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respect des règles de présence et de majorité </w:t>
            </w:r>
            <w:proofErr w:type="gramStart"/>
            <w:r w:rsidRPr="000A1C13">
              <w:rPr>
                <w:rFonts w:cstheme="minorHAnsi"/>
                <w:lang w:val="fr-FR"/>
              </w:rPr>
              <w:t>suivantes:</w:t>
            </w:r>
            <w:proofErr w:type="gramEnd"/>
          </w:p>
          <w:p w14:paraId="5E318A38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D907E61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1° au moins deux tiers des administrateurs doivent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être présents ou représentés à la </w:t>
            </w:r>
            <w:proofErr w:type="gramStart"/>
            <w:r w:rsidRPr="000A1C13">
              <w:rPr>
                <w:rFonts w:cstheme="minorHAnsi"/>
                <w:lang w:val="fr-FR"/>
              </w:rPr>
              <w:t>réunion;</w:t>
            </w:r>
            <w:proofErr w:type="gramEnd"/>
          </w:p>
          <w:p w14:paraId="1B4D28A1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7A1C76B6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 xml:space="preserve">2° une proposition de </w:t>
            </w:r>
            <w:r w:rsidRPr="00CF6703">
              <w:rPr>
                <w:rFonts w:cstheme="minorHAnsi"/>
                <w:lang w:val="fr-FR"/>
              </w:rPr>
              <w:t>transformation transfrontalière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est seulement acceptée si el</w:t>
            </w:r>
            <w:r w:rsidRPr="00CF6703">
              <w:rPr>
                <w:rFonts w:cstheme="minorHAnsi"/>
                <w:lang w:val="fr-FR"/>
              </w:rPr>
              <w:t>le réunit les quatre cinquièmes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des voix.</w:t>
            </w:r>
          </w:p>
          <w:p w14:paraId="3103163C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E78C7D9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§ 2. Par dérogation aux règles précitées, l’accord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tous les administrateurs est </w:t>
            </w:r>
            <w:proofErr w:type="gramStart"/>
            <w:r w:rsidRPr="000A1C13">
              <w:rPr>
                <w:rFonts w:cstheme="minorHAnsi"/>
                <w:lang w:val="fr-FR"/>
              </w:rPr>
              <w:t>requis:</w:t>
            </w:r>
            <w:proofErr w:type="gramEnd"/>
            <w:r>
              <w:rPr>
                <w:rFonts w:cstheme="minorHAnsi"/>
                <w:lang w:val="fr-FR"/>
              </w:rPr>
              <w:t xml:space="preserve"> </w:t>
            </w:r>
          </w:p>
          <w:p w14:paraId="5A97B7AE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96E84FA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1° pour la décision de transformation transfrontalière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en une fondation ou les administrateurs répondent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manière illimitée des dettes de la </w:t>
            </w:r>
            <w:proofErr w:type="gramStart"/>
            <w:r w:rsidRPr="000A1C13">
              <w:rPr>
                <w:rFonts w:cstheme="minorHAnsi"/>
                <w:lang w:val="fr-FR"/>
              </w:rPr>
              <w:t>fondation;</w:t>
            </w:r>
            <w:proofErr w:type="gramEnd"/>
          </w:p>
          <w:p w14:paraId="6FF01A79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693481E0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2° si la fondation n’existe pas depuis deux ans au</w:t>
            </w:r>
          </w:p>
          <w:p w14:paraId="1E675A33" w14:textId="77777777" w:rsidR="003340F4" w:rsidRPr="000A1C13" w:rsidRDefault="003340F4" w:rsidP="007B1FC4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gramStart"/>
            <w:r w:rsidRPr="000A1C13">
              <w:rPr>
                <w:rFonts w:cstheme="minorHAnsi"/>
                <w:lang w:val="fr-FR"/>
              </w:rPr>
              <w:t>moins;</w:t>
            </w:r>
            <w:proofErr w:type="gramEnd"/>
          </w:p>
          <w:p w14:paraId="7DFC189C" w14:textId="77777777" w:rsidR="003340F4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B4920D1" w14:textId="77777777" w:rsidR="003340F4" w:rsidRPr="000A1C13" w:rsidRDefault="003340F4" w:rsidP="007B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3° si les statuts prévoient qu’</w:t>
            </w:r>
            <w:r w:rsidRPr="00CF6703">
              <w:rPr>
                <w:rFonts w:cstheme="minorHAnsi"/>
                <w:lang w:val="fr-FR"/>
              </w:rPr>
              <w:t>elle ne peut adopter une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autre forme légale. Cette clause des statuts ne peut être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modifiée qu’avec l’accord de tous les administrateurs.</w:t>
            </w:r>
          </w:p>
        </w:tc>
      </w:tr>
      <w:tr w:rsidR="0055253A" w:rsidRPr="00C93E93" w14:paraId="07851ED7" w14:textId="77777777" w:rsidTr="0055253A">
        <w:trPr>
          <w:trHeight w:val="577"/>
        </w:trPr>
        <w:tc>
          <w:tcPr>
            <w:tcW w:w="1980" w:type="dxa"/>
          </w:tcPr>
          <w:p w14:paraId="01E12D09" w14:textId="77777777" w:rsidR="0055253A" w:rsidRPr="009801FA" w:rsidRDefault="0055253A" w:rsidP="00E9206C">
            <w:pPr>
              <w:spacing w:after="0"/>
            </w:pPr>
            <w:proofErr w:type="spellStart"/>
            <w:r>
              <w:t>O</w:t>
            </w:r>
            <w:r w:rsidRPr="009801FA">
              <w:t>ntwerp</w:t>
            </w:r>
            <w:bookmarkStart w:id="0" w:name="_GoBack"/>
            <w:bookmarkEnd w:id="0"/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3689575C" w14:textId="77777777" w:rsidR="0055253A" w:rsidRPr="009801FA" w:rsidRDefault="0055253A" w:rsidP="00E9206C">
            <w:pPr>
              <w:spacing w:after="0"/>
            </w:pPr>
            <w:proofErr w:type="spellStart"/>
            <w:r w:rsidRPr="009801FA">
              <w:t>Geen</w:t>
            </w:r>
            <w:proofErr w:type="spellEnd"/>
            <w:r w:rsidRPr="009801FA">
              <w:t xml:space="preserve"> </w:t>
            </w:r>
            <w:proofErr w:type="spellStart"/>
            <w:r w:rsidRPr="009801FA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4DE93AE4" w14:textId="77777777" w:rsidR="0055253A" w:rsidRDefault="0055253A" w:rsidP="00E9206C">
            <w:pPr>
              <w:spacing w:after="0"/>
            </w:pPr>
            <w:r w:rsidRPr="009801FA">
              <w:t xml:space="preserve">Pas </w:t>
            </w:r>
            <w:proofErr w:type="spellStart"/>
            <w:r w:rsidRPr="009801FA">
              <w:t>d’article</w:t>
            </w:r>
            <w:proofErr w:type="spellEnd"/>
            <w:r>
              <w:t>.</w:t>
            </w:r>
          </w:p>
        </w:tc>
      </w:tr>
      <w:tr w:rsidR="0055253A" w:rsidRPr="008F2339" w14:paraId="55765086" w14:textId="77777777" w:rsidTr="00C93E93">
        <w:trPr>
          <w:trHeight w:val="407"/>
        </w:trPr>
        <w:tc>
          <w:tcPr>
            <w:tcW w:w="1980" w:type="dxa"/>
          </w:tcPr>
          <w:p w14:paraId="18FCC1B3" w14:textId="77777777" w:rsidR="0055253A" w:rsidRPr="009D0C8A" w:rsidRDefault="0055253A" w:rsidP="007B1FC4">
            <w:pPr>
              <w:spacing w:after="0"/>
            </w:pPr>
            <w:proofErr w:type="spellStart"/>
            <w:r w:rsidRPr="009D0C8A">
              <w:lastRenderedPageBreak/>
              <w:t>Voorontwerp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339FAE38" w14:textId="77777777" w:rsidR="0055253A" w:rsidRPr="009D0C8A" w:rsidRDefault="0055253A" w:rsidP="007B1FC4">
            <w:pPr>
              <w:spacing w:after="0"/>
            </w:pPr>
            <w:proofErr w:type="spellStart"/>
            <w:r w:rsidRPr="009D0C8A">
              <w:t>Geen</w:t>
            </w:r>
            <w:proofErr w:type="spellEnd"/>
            <w:r w:rsidRPr="009D0C8A">
              <w:t xml:space="preserve"> </w:t>
            </w:r>
            <w:proofErr w:type="spellStart"/>
            <w:r w:rsidRPr="009D0C8A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0FEB6B0B" w14:textId="77777777" w:rsidR="0055253A" w:rsidRDefault="0055253A" w:rsidP="007B1FC4">
            <w:pPr>
              <w:spacing w:after="0"/>
            </w:pPr>
            <w:r w:rsidRPr="009D0C8A">
              <w:t xml:space="preserve">Pas </w:t>
            </w:r>
            <w:proofErr w:type="spellStart"/>
            <w:r w:rsidRPr="009D0C8A">
              <w:t>d’article</w:t>
            </w:r>
            <w:proofErr w:type="spellEnd"/>
            <w:r>
              <w:t>.</w:t>
            </w:r>
          </w:p>
        </w:tc>
      </w:tr>
      <w:tr w:rsidR="0055253A" w:rsidRPr="008F2339" w14:paraId="69DF2601" w14:textId="77777777" w:rsidTr="00C93E93">
        <w:trPr>
          <w:trHeight w:val="374"/>
        </w:trPr>
        <w:tc>
          <w:tcPr>
            <w:tcW w:w="1980" w:type="dxa"/>
          </w:tcPr>
          <w:p w14:paraId="36FC021E" w14:textId="77777777" w:rsidR="0055253A" w:rsidRPr="001C6EEC" w:rsidRDefault="0055253A" w:rsidP="007B1FC4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7CE9FFC7" w14:textId="77777777" w:rsidR="0055253A" w:rsidRPr="001C6EEC" w:rsidRDefault="0055253A" w:rsidP="007B1FC4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8066F0D" w14:textId="77777777" w:rsidR="0055253A" w:rsidRPr="001C6EEC" w:rsidRDefault="0055253A" w:rsidP="007B1FC4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55253A" w:rsidRPr="008F2339" w14:paraId="49385CFE" w14:textId="77777777" w:rsidTr="00C93E93">
        <w:trPr>
          <w:trHeight w:val="409"/>
        </w:trPr>
        <w:tc>
          <w:tcPr>
            <w:tcW w:w="1980" w:type="dxa"/>
          </w:tcPr>
          <w:p w14:paraId="30C1DDDD" w14:textId="77777777" w:rsidR="0055253A" w:rsidRPr="001C6EEC" w:rsidRDefault="0055253A" w:rsidP="007B1FC4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18693789" w14:textId="77777777" w:rsidR="0055253A" w:rsidRPr="001C6EEC" w:rsidRDefault="0055253A" w:rsidP="007B1FC4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17844ADA" w14:textId="77777777" w:rsidR="0055253A" w:rsidRPr="001C6EEC" w:rsidRDefault="0055253A" w:rsidP="007B1FC4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12546746" w14:textId="77777777" w:rsidR="001203BA" w:rsidRPr="0047203B" w:rsidRDefault="001203BA" w:rsidP="001203BA">
      <w:pPr>
        <w:rPr>
          <w:lang w:val="fr-FR"/>
        </w:rPr>
      </w:pPr>
    </w:p>
    <w:p w14:paraId="4B0AAA97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B92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53A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41CD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1FC4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8F2339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34AF5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93E93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B4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2019-11-04T15:02:00Z</dcterms:created>
  <dcterms:modified xsi:type="dcterms:W3CDTF">2022-02-07T12:31:00Z</dcterms:modified>
</cp:coreProperties>
</file>