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5953"/>
      </w:tblGrid>
      <w:tr w:rsidR="001203BA" w:rsidRPr="009460AE" w14:paraId="15D0B72C" w14:textId="77777777" w:rsidTr="009D385A">
        <w:tc>
          <w:tcPr>
            <w:tcW w:w="2122" w:type="dxa"/>
          </w:tcPr>
          <w:p w14:paraId="5E10B64E" w14:textId="77777777" w:rsidR="001203BA" w:rsidRPr="00B07AC9" w:rsidRDefault="00E53C0F" w:rsidP="00E33882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14:82</w:t>
            </w:r>
          </w:p>
        </w:tc>
        <w:tc>
          <w:tcPr>
            <w:tcW w:w="11859" w:type="dxa"/>
            <w:gridSpan w:val="2"/>
            <w:shd w:val="clear" w:color="auto" w:fill="auto"/>
          </w:tcPr>
          <w:p w14:paraId="422EBB35" w14:textId="77777777" w:rsidR="001B29CB" w:rsidRPr="00C47A8C" w:rsidRDefault="001B29CB" w:rsidP="00E33882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55CB662A" w14:textId="77777777" w:rsidTr="009D385A">
        <w:tc>
          <w:tcPr>
            <w:tcW w:w="2122" w:type="dxa"/>
          </w:tcPr>
          <w:p w14:paraId="030FE170" w14:textId="77777777" w:rsidR="001203BA" w:rsidRPr="00B07AC9" w:rsidRDefault="001203BA" w:rsidP="00E33882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2"/>
            <w:shd w:val="clear" w:color="auto" w:fill="auto"/>
          </w:tcPr>
          <w:p w14:paraId="13483FFC" w14:textId="77777777" w:rsidR="001203BA" w:rsidRPr="007B17CA" w:rsidRDefault="001203BA" w:rsidP="00E33882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E53C0F" w:rsidRPr="00A15306" w14:paraId="76A36F5C" w14:textId="77777777" w:rsidTr="009D385A">
        <w:trPr>
          <w:trHeight w:val="1653"/>
        </w:trPr>
        <w:tc>
          <w:tcPr>
            <w:tcW w:w="2122" w:type="dxa"/>
          </w:tcPr>
          <w:p w14:paraId="771B2BE7" w14:textId="77777777" w:rsidR="00E53C0F" w:rsidRDefault="00E53C0F" w:rsidP="00E33882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6870242B" w14:textId="77777777" w:rsidR="00E53C0F" w:rsidRPr="000A1C13" w:rsidRDefault="00E53C0F" w:rsidP="00E33882">
            <w:pPr>
              <w:spacing w:after="0" w:line="240" w:lineRule="auto"/>
              <w:jc w:val="both"/>
              <w:rPr>
                <w:rFonts w:eastAsia="Calibri"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De grensoverschrijdende omzetting 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daarmee gepaard gaande statutenwijziging worden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van kracht vanaf de inschrijving van de stichting in het</w:t>
            </w:r>
            <w:r w:rsidR="00C660BF"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Belgisch rechtspersonenregister, wat in het geval van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een omzetting in stichting van openbaar nut slechts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mogelijk is na goedkeuring door de Koning.</w:t>
            </w:r>
          </w:p>
        </w:tc>
        <w:tc>
          <w:tcPr>
            <w:tcW w:w="5953" w:type="dxa"/>
            <w:shd w:val="clear" w:color="auto" w:fill="auto"/>
          </w:tcPr>
          <w:p w14:paraId="31286B26" w14:textId="77777777" w:rsidR="00E53C0F" w:rsidRPr="000A1C13" w:rsidRDefault="00E53C0F" w:rsidP="00E33882">
            <w:pPr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La transformation transfrontalière et la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modification statutaire qui en résulte prennent eff</w:t>
            </w:r>
            <w:r w:rsidRPr="005159ED">
              <w:rPr>
                <w:rFonts w:cstheme="minorHAnsi"/>
                <w:lang w:val="fr-FR"/>
              </w:rPr>
              <w:t>et à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dater de l’immatriculation </w:t>
            </w:r>
            <w:r w:rsidRPr="005159ED">
              <w:rPr>
                <w:rFonts w:cstheme="minorHAnsi"/>
                <w:lang w:val="fr-FR"/>
              </w:rPr>
              <w:t>de la fondation dans le registr</w:t>
            </w:r>
            <w:r>
              <w:rPr>
                <w:rFonts w:cstheme="minorHAnsi"/>
                <w:lang w:val="fr-FR"/>
              </w:rPr>
              <w:t>e b</w:t>
            </w:r>
            <w:r w:rsidRPr="000A1C13">
              <w:rPr>
                <w:rFonts w:cstheme="minorHAnsi"/>
                <w:lang w:val="fr-FR"/>
              </w:rPr>
              <w:t>elge des personnes morales, laquelle ne peut se faire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dans le cas d’une transformation en fondation d’utilité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publique qu’après l’approbation du Roi.</w:t>
            </w:r>
          </w:p>
        </w:tc>
      </w:tr>
      <w:tr w:rsidR="00A15306" w:rsidRPr="00A15306" w14:paraId="6AA50C69" w14:textId="77777777" w:rsidTr="00A15306">
        <w:trPr>
          <w:trHeight w:val="339"/>
        </w:trPr>
        <w:tc>
          <w:tcPr>
            <w:tcW w:w="2122" w:type="dxa"/>
          </w:tcPr>
          <w:p w14:paraId="76F42576" w14:textId="77777777" w:rsidR="00A15306" w:rsidRPr="00FB36A4" w:rsidRDefault="00A15306" w:rsidP="00E9206C">
            <w:pPr>
              <w:spacing w:after="0"/>
            </w:pPr>
            <w:proofErr w:type="spellStart"/>
            <w:r>
              <w:t>O</w:t>
            </w:r>
            <w:r w:rsidRPr="00FB36A4">
              <w:t>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0F4E289D" w14:textId="77777777" w:rsidR="00A15306" w:rsidRPr="00FB36A4" w:rsidRDefault="00A15306" w:rsidP="00E9206C">
            <w:pPr>
              <w:spacing w:after="0"/>
            </w:pPr>
            <w:proofErr w:type="spellStart"/>
            <w:r w:rsidRPr="00FB36A4">
              <w:t>Geen</w:t>
            </w:r>
            <w:proofErr w:type="spellEnd"/>
            <w:r w:rsidRPr="00FB36A4">
              <w:t xml:space="preserve"> </w:t>
            </w:r>
            <w:proofErr w:type="spellStart"/>
            <w:r w:rsidRPr="00FB36A4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4478D58B" w14:textId="77777777" w:rsidR="00A15306" w:rsidRDefault="00A15306" w:rsidP="00E9206C">
            <w:pPr>
              <w:spacing w:after="0"/>
            </w:pPr>
            <w:r w:rsidRPr="00FB36A4">
              <w:t xml:space="preserve">Pas </w:t>
            </w:r>
            <w:proofErr w:type="spellStart"/>
            <w:r w:rsidRPr="00FB36A4">
              <w:t>d’article</w:t>
            </w:r>
            <w:proofErr w:type="spellEnd"/>
            <w:r>
              <w:t>.</w:t>
            </w:r>
          </w:p>
        </w:tc>
      </w:tr>
      <w:tr w:rsidR="00A15306" w:rsidRPr="005F6D20" w14:paraId="3D809E85" w14:textId="77777777" w:rsidTr="009D385A">
        <w:trPr>
          <w:trHeight w:val="400"/>
        </w:trPr>
        <w:tc>
          <w:tcPr>
            <w:tcW w:w="2122" w:type="dxa"/>
          </w:tcPr>
          <w:p w14:paraId="58DA0CF5" w14:textId="77777777" w:rsidR="00A15306" w:rsidRPr="005F6D20" w:rsidRDefault="00A15306" w:rsidP="00E33882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402FF3A9" w14:textId="77777777" w:rsidR="00A15306" w:rsidRPr="005F6D20" w:rsidRDefault="00A15306" w:rsidP="00E33882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artikel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0AA38060" w14:textId="77777777" w:rsidR="00A15306" w:rsidRPr="000A1C13" w:rsidRDefault="00A15306" w:rsidP="00E33882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d’article.</w:t>
            </w:r>
          </w:p>
        </w:tc>
      </w:tr>
      <w:tr w:rsidR="00A15306" w:rsidRPr="005F6D20" w14:paraId="4D88F778" w14:textId="77777777" w:rsidTr="009D385A">
        <w:trPr>
          <w:trHeight w:val="413"/>
        </w:trPr>
        <w:tc>
          <w:tcPr>
            <w:tcW w:w="2122" w:type="dxa"/>
          </w:tcPr>
          <w:p w14:paraId="0A4E1E46" w14:textId="77777777" w:rsidR="00A15306" w:rsidRPr="001C6EEC" w:rsidRDefault="00A15306" w:rsidP="00E33882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71EC219E" w14:textId="77777777" w:rsidR="00A15306" w:rsidRPr="001C6EEC" w:rsidRDefault="00A15306" w:rsidP="00E33882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0AD2A177" w14:textId="77777777" w:rsidR="00A15306" w:rsidRPr="001C6EEC" w:rsidRDefault="00A15306" w:rsidP="00E33882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  <w:tr w:rsidR="00A15306" w:rsidRPr="005F6D20" w14:paraId="2C3DF25C" w14:textId="77777777" w:rsidTr="009D385A">
        <w:trPr>
          <w:trHeight w:val="276"/>
        </w:trPr>
        <w:tc>
          <w:tcPr>
            <w:tcW w:w="2122" w:type="dxa"/>
          </w:tcPr>
          <w:p w14:paraId="1A8A9B00" w14:textId="77777777" w:rsidR="00A15306" w:rsidRPr="001C6EEC" w:rsidRDefault="00A15306" w:rsidP="00E33882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526911C3" w14:textId="77777777" w:rsidR="00A15306" w:rsidRPr="001C6EEC" w:rsidRDefault="00A15306" w:rsidP="00E33882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23DB399D" w14:textId="77777777" w:rsidR="00A15306" w:rsidRPr="001C6EEC" w:rsidRDefault="00A15306" w:rsidP="00E33882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</w:tbl>
    <w:p w14:paraId="5F878158" w14:textId="77777777" w:rsidR="001203BA" w:rsidRPr="0047203B" w:rsidRDefault="001203BA" w:rsidP="001203BA">
      <w:pPr>
        <w:rPr>
          <w:lang w:val="fr-FR"/>
        </w:rPr>
      </w:pPr>
    </w:p>
    <w:p w14:paraId="6C7A0992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1C71"/>
    <w:rsid w:val="00036F85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738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5F6D20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143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D385A"/>
    <w:rsid w:val="009F648C"/>
    <w:rsid w:val="009F7906"/>
    <w:rsid w:val="00A0074A"/>
    <w:rsid w:val="00A01EFB"/>
    <w:rsid w:val="00A152BE"/>
    <w:rsid w:val="00A15306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660BF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8405B"/>
    <w:rsid w:val="00D931FB"/>
    <w:rsid w:val="00D96002"/>
    <w:rsid w:val="00DA0AF3"/>
    <w:rsid w:val="00DB5C97"/>
    <w:rsid w:val="00DE1FCC"/>
    <w:rsid w:val="00E15370"/>
    <w:rsid w:val="00E15CFE"/>
    <w:rsid w:val="00E21F8D"/>
    <w:rsid w:val="00E26DE4"/>
    <w:rsid w:val="00E33882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2E9F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2019-11-04T15:06:00Z</dcterms:created>
  <dcterms:modified xsi:type="dcterms:W3CDTF">2022-02-07T12:45:00Z</dcterms:modified>
</cp:coreProperties>
</file>