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047"/>
        <w:gridCol w:w="5812"/>
      </w:tblGrid>
      <w:tr w:rsidR="001203BA" w:rsidRPr="009460AE" w14:paraId="305C81CC" w14:textId="77777777" w:rsidTr="000225F3">
        <w:tc>
          <w:tcPr>
            <w:tcW w:w="2122" w:type="dxa"/>
          </w:tcPr>
          <w:p w14:paraId="0330290A" w14:textId="77777777" w:rsidR="001203BA" w:rsidRPr="00B07AC9" w:rsidRDefault="0021135B" w:rsidP="00683E0E">
            <w:pPr>
              <w:rPr>
                <w:b/>
                <w:sz w:val="32"/>
                <w:szCs w:val="32"/>
                <w:lang w:val="nl-BE"/>
              </w:rPr>
            </w:pPr>
            <w:r>
              <w:rPr>
                <w:b/>
                <w:sz w:val="32"/>
                <w:szCs w:val="32"/>
                <w:lang w:val="nl-BE"/>
              </w:rPr>
              <w:t>ARTIKEL 15:13</w:t>
            </w:r>
          </w:p>
        </w:tc>
        <w:tc>
          <w:tcPr>
            <w:tcW w:w="11859" w:type="dxa"/>
            <w:gridSpan w:val="2"/>
            <w:shd w:val="clear" w:color="auto" w:fill="auto"/>
          </w:tcPr>
          <w:p w14:paraId="69A314A9" w14:textId="77777777" w:rsidR="001B29CB" w:rsidRPr="00216A35" w:rsidRDefault="001B29CB" w:rsidP="00683E0E">
            <w:pPr>
              <w:jc w:val="center"/>
              <w:rPr>
                <w:iCs/>
                <w:lang w:val="nl-BE"/>
              </w:rPr>
            </w:pPr>
          </w:p>
        </w:tc>
      </w:tr>
      <w:tr w:rsidR="001203BA" w:rsidRPr="00441E30" w14:paraId="3C388B04" w14:textId="77777777" w:rsidTr="000225F3">
        <w:tc>
          <w:tcPr>
            <w:tcW w:w="2122" w:type="dxa"/>
          </w:tcPr>
          <w:p w14:paraId="67EC36E3" w14:textId="77777777" w:rsidR="001203BA" w:rsidRPr="00B07AC9" w:rsidRDefault="001203BA" w:rsidP="00683E0E">
            <w:pPr>
              <w:rPr>
                <w:b/>
                <w:sz w:val="32"/>
                <w:szCs w:val="32"/>
                <w:lang w:val="nl-BE"/>
              </w:rPr>
            </w:pPr>
          </w:p>
        </w:tc>
        <w:tc>
          <w:tcPr>
            <w:tcW w:w="11859" w:type="dxa"/>
            <w:gridSpan w:val="2"/>
            <w:shd w:val="clear" w:color="auto" w:fill="auto"/>
          </w:tcPr>
          <w:p w14:paraId="6C02A31D" w14:textId="77777777" w:rsidR="001203BA" w:rsidRPr="007B17CA" w:rsidRDefault="001203BA" w:rsidP="00683E0E">
            <w:pPr>
              <w:jc w:val="center"/>
              <w:rPr>
                <w:rFonts w:ascii="Cambria" w:eastAsia="Calibri" w:hAnsi="Cambria" w:cs="Times New Roman"/>
                <w:b/>
                <w:bCs/>
                <w:color w:val="4F81BD"/>
                <w:sz w:val="32"/>
                <w:szCs w:val="26"/>
                <w:lang w:val="nl-NL" w:eastAsia="fr-FR"/>
              </w:rPr>
            </w:pPr>
          </w:p>
        </w:tc>
      </w:tr>
      <w:tr w:rsidR="0021135B" w:rsidRPr="005E5BE5" w14:paraId="52037EEA" w14:textId="77777777" w:rsidTr="000225F3">
        <w:trPr>
          <w:trHeight w:val="2787"/>
        </w:trPr>
        <w:tc>
          <w:tcPr>
            <w:tcW w:w="2122" w:type="dxa"/>
          </w:tcPr>
          <w:p w14:paraId="6039FF7A" w14:textId="77777777" w:rsidR="0021135B" w:rsidRDefault="0021135B" w:rsidP="00683E0E">
            <w:pPr>
              <w:spacing w:after="0" w:line="240" w:lineRule="auto"/>
              <w:rPr>
                <w:rFonts w:cs="Calibri"/>
                <w:lang w:val="nl-BE"/>
              </w:rPr>
            </w:pPr>
            <w:r>
              <w:rPr>
                <w:rFonts w:cs="Calibri"/>
                <w:lang w:val="nl-BE"/>
              </w:rPr>
              <w:t>WVV</w:t>
            </w:r>
          </w:p>
        </w:tc>
        <w:tc>
          <w:tcPr>
            <w:tcW w:w="6047" w:type="dxa"/>
            <w:shd w:val="clear" w:color="auto" w:fill="auto"/>
          </w:tcPr>
          <w:p w14:paraId="2C0AE228" w14:textId="77777777" w:rsidR="0021135B" w:rsidRDefault="0021135B" w:rsidP="00683E0E">
            <w:pPr>
              <w:spacing w:after="0" w:line="240" w:lineRule="auto"/>
              <w:jc w:val="both"/>
              <w:rPr>
                <w:rFonts w:cs="Calibri"/>
                <w:lang w:val="nl-BE"/>
              </w:rPr>
            </w:pPr>
            <w:r w:rsidRPr="002E1454">
              <w:rPr>
                <w:rFonts w:cs="Calibri"/>
                <w:lang w:val="nl-BE"/>
              </w:rPr>
              <w:t>De oprichtingsakte van de holding-SE stelt vast dat binnen de in artikel 33, lid 1, van verordening (EG) nr. 2157/2001 bepaalde termijn de aandeelhouders of vennoten van de initiatiefnemende vennootschappen het in het oprichtingsvoorstel vastgestelde minimumpercentage van de aandelen van elke vennootschap hebben ingebracht en dat aan alle overige voorwaarden is voldaan</w:t>
            </w:r>
            <w:r>
              <w:rPr>
                <w:rFonts w:cs="Calibri"/>
                <w:lang w:val="nl-BE"/>
              </w:rPr>
              <w:t>.</w:t>
            </w:r>
          </w:p>
          <w:p w14:paraId="3892F585" w14:textId="77777777" w:rsidR="00913FE2" w:rsidRDefault="00913FE2" w:rsidP="00683E0E">
            <w:pPr>
              <w:spacing w:after="0" w:line="240" w:lineRule="auto"/>
              <w:jc w:val="both"/>
              <w:rPr>
                <w:rFonts w:cs="Calibri"/>
                <w:lang w:val="nl-BE"/>
              </w:rPr>
            </w:pPr>
          </w:p>
          <w:p w14:paraId="78E1B2C0" w14:textId="77777777" w:rsidR="0021135B" w:rsidRPr="00B73889" w:rsidRDefault="0021135B" w:rsidP="00683E0E">
            <w:pPr>
              <w:spacing w:after="0" w:line="240" w:lineRule="auto"/>
              <w:jc w:val="both"/>
              <w:rPr>
                <w:rFonts w:cs="Calibri"/>
                <w:lang w:val="nl-BE"/>
              </w:rPr>
            </w:pPr>
            <w:r w:rsidRPr="002E1454">
              <w:rPr>
                <w:rFonts w:cs="Calibri"/>
                <w:lang w:val="nl-NL"/>
              </w:rPr>
              <w:t>Deze vaststelling wordt opgenomen in het uittreksel bedoeld in artikel 2:8, § 2</w:t>
            </w:r>
            <w:r>
              <w:rPr>
                <w:rFonts w:cs="Calibri"/>
                <w:lang w:val="nl-NL"/>
              </w:rPr>
              <w:t>.</w:t>
            </w:r>
          </w:p>
        </w:tc>
        <w:tc>
          <w:tcPr>
            <w:tcW w:w="5812" w:type="dxa"/>
            <w:shd w:val="clear" w:color="auto" w:fill="auto"/>
          </w:tcPr>
          <w:p w14:paraId="05935BE0" w14:textId="77777777" w:rsidR="0021135B" w:rsidRPr="0021135B" w:rsidRDefault="0021135B" w:rsidP="00683E0E">
            <w:pPr>
              <w:spacing w:after="0" w:line="240" w:lineRule="auto"/>
              <w:jc w:val="both"/>
              <w:rPr>
                <w:rFonts w:cs="Calibri"/>
                <w:lang w:val="fr-FR"/>
              </w:rPr>
            </w:pPr>
            <w:r w:rsidRPr="00E743EE">
              <w:rPr>
                <w:rFonts w:cs="Calibri"/>
                <w:lang w:val="fr-FR"/>
              </w:rPr>
              <w:t>L'acte constitutif de la SE-holding constate que dans le délai visé à l'article 33, § 1</w:t>
            </w:r>
            <w:r w:rsidRPr="00E743EE">
              <w:rPr>
                <w:rFonts w:cs="Calibri"/>
                <w:vertAlign w:val="superscript"/>
                <w:lang w:val="fr-FR"/>
              </w:rPr>
              <w:t>er</w:t>
            </w:r>
            <w:r w:rsidRPr="00E743EE">
              <w:rPr>
                <w:rFonts w:cs="Calibri"/>
                <w:lang w:val="fr-FR"/>
              </w:rPr>
              <w:t xml:space="preserve">, du règlement (CE) n° 2157/2001 les </w:t>
            </w:r>
            <w:proofErr w:type="spellStart"/>
            <w:r w:rsidRPr="00E743EE">
              <w:rPr>
                <w:rFonts w:cs="Calibri"/>
                <w:lang w:val="fr-FR"/>
              </w:rPr>
              <w:t>ac</w:t>
            </w:r>
            <w:r w:rsidRPr="002E1454">
              <w:rPr>
                <w:rFonts w:cs="Calibri"/>
                <w:lang w:val="fr-BE"/>
              </w:rPr>
              <w:t>tionnaires</w:t>
            </w:r>
            <w:proofErr w:type="spellEnd"/>
            <w:r w:rsidRPr="002E1454">
              <w:rPr>
                <w:rFonts w:cs="Calibri"/>
                <w:lang w:val="fr-BE"/>
              </w:rPr>
              <w:t xml:space="preserve"> ou associés des sociétés qui promeuvent l'opération ont apporté le pourcentage minimal d'actions ou parts de chaque société fixé conformément au projet de constitution et que toutes les autres conditions sont remplies.</w:t>
            </w:r>
          </w:p>
          <w:p w14:paraId="0138580D" w14:textId="77777777" w:rsidR="0021135B" w:rsidRDefault="0021135B" w:rsidP="00683E0E">
            <w:pPr>
              <w:spacing w:after="0" w:line="240" w:lineRule="auto"/>
              <w:jc w:val="both"/>
              <w:rPr>
                <w:rFonts w:cs="Calibri"/>
                <w:lang w:val="fr-BE"/>
              </w:rPr>
            </w:pPr>
          </w:p>
          <w:p w14:paraId="69969C9F" w14:textId="77777777" w:rsidR="0021135B" w:rsidRPr="00BE221B" w:rsidRDefault="0021135B" w:rsidP="00683E0E">
            <w:pPr>
              <w:spacing w:after="0" w:line="240" w:lineRule="auto"/>
              <w:jc w:val="both"/>
              <w:rPr>
                <w:rFonts w:cs="Calibri"/>
                <w:lang w:val="fr-BE"/>
              </w:rPr>
            </w:pPr>
            <w:r w:rsidRPr="002E1454">
              <w:rPr>
                <w:rFonts w:cs="Calibri"/>
                <w:lang w:val="fr-BE"/>
              </w:rPr>
              <w:t>Cette constatation est mentionnée dans l'extrait visé à l'article 2:8, § 2</w:t>
            </w:r>
            <w:r>
              <w:rPr>
                <w:rFonts w:cs="Calibri"/>
                <w:lang w:val="fr-BE"/>
              </w:rPr>
              <w:t>.</w:t>
            </w:r>
          </w:p>
        </w:tc>
      </w:tr>
      <w:tr w:rsidR="005A2874" w:rsidRPr="005E5BE5" w14:paraId="3BDC5035" w14:textId="77777777" w:rsidTr="005A2874">
        <w:trPr>
          <w:trHeight w:val="450"/>
        </w:trPr>
        <w:tc>
          <w:tcPr>
            <w:tcW w:w="2122" w:type="dxa"/>
          </w:tcPr>
          <w:p w14:paraId="6B28C5AD" w14:textId="77777777" w:rsidR="005A2874" w:rsidRPr="00E6693A" w:rsidRDefault="005A2874" w:rsidP="00E9206C">
            <w:pPr>
              <w:spacing w:after="0"/>
            </w:pPr>
            <w:proofErr w:type="spellStart"/>
            <w:r w:rsidRPr="00E6693A">
              <w:t>Ontwerp</w:t>
            </w:r>
            <w:proofErr w:type="spellEnd"/>
          </w:p>
        </w:tc>
        <w:tc>
          <w:tcPr>
            <w:tcW w:w="6047" w:type="dxa"/>
            <w:shd w:val="clear" w:color="auto" w:fill="auto"/>
          </w:tcPr>
          <w:p w14:paraId="1634628E" w14:textId="77777777" w:rsidR="005A2874" w:rsidRPr="00E6693A" w:rsidRDefault="005A2874" w:rsidP="00E9206C">
            <w:pPr>
              <w:spacing w:after="0"/>
            </w:pPr>
            <w:proofErr w:type="spellStart"/>
            <w:r w:rsidRPr="00E6693A">
              <w:t>Geen</w:t>
            </w:r>
            <w:proofErr w:type="spellEnd"/>
            <w:r w:rsidRPr="00E6693A">
              <w:t xml:space="preserve"> </w:t>
            </w:r>
            <w:proofErr w:type="spellStart"/>
            <w:r w:rsidRPr="00E6693A">
              <w:t>artikel</w:t>
            </w:r>
            <w:proofErr w:type="spellEnd"/>
            <w:r>
              <w:t>.</w:t>
            </w:r>
          </w:p>
        </w:tc>
        <w:tc>
          <w:tcPr>
            <w:tcW w:w="5812" w:type="dxa"/>
            <w:shd w:val="clear" w:color="auto" w:fill="auto"/>
          </w:tcPr>
          <w:p w14:paraId="72B599DB" w14:textId="77777777" w:rsidR="005A2874" w:rsidRDefault="005A2874" w:rsidP="00E9206C">
            <w:pPr>
              <w:spacing w:after="0"/>
            </w:pPr>
            <w:r w:rsidRPr="00E6693A">
              <w:t xml:space="preserve">Pas </w:t>
            </w:r>
            <w:proofErr w:type="spellStart"/>
            <w:r w:rsidRPr="00E6693A">
              <w:t>d’article</w:t>
            </w:r>
            <w:proofErr w:type="spellEnd"/>
            <w:r>
              <w:t>.</w:t>
            </w:r>
          </w:p>
        </w:tc>
      </w:tr>
      <w:tr w:rsidR="005A2874" w:rsidRPr="00E743EE" w14:paraId="69F80F3C" w14:textId="77777777" w:rsidTr="000225F3">
        <w:trPr>
          <w:trHeight w:val="417"/>
        </w:trPr>
        <w:tc>
          <w:tcPr>
            <w:tcW w:w="2122" w:type="dxa"/>
          </w:tcPr>
          <w:p w14:paraId="0DFDDF98" w14:textId="77777777" w:rsidR="005A2874" w:rsidRPr="00E743EE" w:rsidRDefault="005A2874" w:rsidP="00683E0E">
            <w:pPr>
              <w:spacing w:after="0" w:line="240" w:lineRule="auto"/>
              <w:rPr>
                <w:rFonts w:cs="Calibri"/>
                <w:lang w:val="fr-FR"/>
              </w:rPr>
            </w:pPr>
            <w:proofErr w:type="spellStart"/>
            <w:r>
              <w:rPr>
                <w:rFonts w:cs="Calibri"/>
                <w:lang w:val="fr-FR"/>
              </w:rPr>
              <w:t>Voorontwerp</w:t>
            </w:r>
            <w:proofErr w:type="spellEnd"/>
          </w:p>
        </w:tc>
        <w:tc>
          <w:tcPr>
            <w:tcW w:w="6047" w:type="dxa"/>
            <w:shd w:val="clear" w:color="auto" w:fill="auto"/>
          </w:tcPr>
          <w:p w14:paraId="5F7771A1" w14:textId="77777777" w:rsidR="005A2874" w:rsidRPr="00E743EE" w:rsidRDefault="005A2874" w:rsidP="00683E0E">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shd w:val="clear" w:color="auto" w:fill="auto"/>
          </w:tcPr>
          <w:p w14:paraId="044F1C29" w14:textId="77777777" w:rsidR="005A2874" w:rsidRPr="00E743EE" w:rsidRDefault="005A2874" w:rsidP="00683E0E">
            <w:pPr>
              <w:spacing w:after="0" w:line="240" w:lineRule="auto"/>
              <w:jc w:val="both"/>
              <w:rPr>
                <w:rFonts w:cs="Calibri"/>
                <w:lang w:val="fr-FR"/>
              </w:rPr>
            </w:pPr>
            <w:r>
              <w:rPr>
                <w:rFonts w:cs="Calibri"/>
                <w:lang w:val="fr-FR"/>
              </w:rPr>
              <w:t>Pas d’article.</w:t>
            </w:r>
          </w:p>
        </w:tc>
      </w:tr>
      <w:tr w:rsidR="005A2874" w:rsidRPr="005E5BE5" w14:paraId="5211D580" w14:textId="77777777" w:rsidTr="000225F3">
        <w:trPr>
          <w:trHeight w:val="601"/>
        </w:trPr>
        <w:tc>
          <w:tcPr>
            <w:tcW w:w="2122" w:type="dxa"/>
          </w:tcPr>
          <w:p w14:paraId="6C6D4F6E" w14:textId="77777777" w:rsidR="005A2874" w:rsidRPr="00C63F5F" w:rsidRDefault="005A2874" w:rsidP="00683E0E">
            <w:pPr>
              <w:spacing w:after="0"/>
            </w:pPr>
            <w:bookmarkStart w:id="0" w:name="_GoBack"/>
            <w:bookmarkEnd w:id="0"/>
            <w:proofErr w:type="spellStart"/>
            <w:r>
              <w:t>MvT</w:t>
            </w:r>
            <w:proofErr w:type="spellEnd"/>
          </w:p>
        </w:tc>
        <w:tc>
          <w:tcPr>
            <w:tcW w:w="6047" w:type="dxa"/>
            <w:shd w:val="clear" w:color="auto" w:fill="auto"/>
          </w:tcPr>
          <w:p w14:paraId="388D189C" w14:textId="77777777" w:rsidR="005A2874" w:rsidRPr="00125179" w:rsidRDefault="005A2874" w:rsidP="005E5BE5">
            <w:pPr>
              <w:spacing w:after="0" w:line="240" w:lineRule="auto"/>
              <w:jc w:val="both"/>
              <w:rPr>
                <w:lang w:val="nl-BE"/>
              </w:rPr>
            </w:pPr>
            <w:r w:rsidRPr="00125179">
              <w:rPr>
                <w:lang w:val="nl-BE"/>
              </w:rPr>
              <w:t>De</w:t>
            </w:r>
            <w:r>
              <w:rPr>
                <w:lang w:val="nl-BE"/>
              </w:rPr>
              <w:t>ze bepaling herneemt artikel 889</w:t>
            </w:r>
            <w:r w:rsidRPr="00125179">
              <w:rPr>
                <w:lang w:val="nl-BE"/>
              </w:rPr>
              <w:t xml:space="preserve"> van het Wetboek van vennootschappen.</w:t>
            </w:r>
          </w:p>
        </w:tc>
        <w:tc>
          <w:tcPr>
            <w:tcW w:w="5812" w:type="dxa"/>
            <w:shd w:val="clear" w:color="auto" w:fill="auto"/>
          </w:tcPr>
          <w:p w14:paraId="17F5F702" w14:textId="77777777" w:rsidR="005A2874" w:rsidRPr="00125179" w:rsidRDefault="005A2874" w:rsidP="00683E0E">
            <w:pPr>
              <w:spacing w:after="0" w:line="240" w:lineRule="auto"/>
              <w:rPr>
                <w:lang w:val="fr-FR"/>
              </w:rPr>
            </w:pPr>
            <w:r w:rsidRPr="00125179">
              <w:rPr>
                <w:lang w:val="fr-FR"/>
              </w:rPr>
              <w:t>Cette d</w:t>
            </w:r>
            <w:r>
              <w:rPr>
                <w:lang w:val="fr-FR"/>
              </w:rPr>
              <w:t>isposition reprend l'article 889</w:t>
            </w:r>
            <w:r w:rsidRPr="00125179">
              <w:rPr>
                <w:lang w:val="fr-FR"/>
              </w:rPr>
              <w:t xml:space="preserve"> du Code des sociétés.</w:t>
            </w:r>
          </w:p>
        </w:tc>
      </w:tr>
      <w:tr w:rsidR="005A2874" w:rsidRPr="00E743EE" w14:paraId="3A275AAB" w14:textId="77777777" w:rsidTr="000225F3">
        <w:trPr>
          <w:trHeight w:val="427"/>
        </w:trPr>
        <w:tc>
          <w:tcPr>
            <w:tcW w:w="2122" w:type="dxa"/>
          </w:tcPr>
          <w:p w14:paraId="11387E2C" w14:textId="77777777" w:rsidR="005A2874" w:rsidRDefault="005A2874" w:rsidP="00683E0E">
            <w:pPr>
              <w:spacing w:after="0"/>
            </w:pPr>
            <w:proofErr w:type="spellStart"/>
            <w:r>
              <w:t>Rvst</w:t>
            </w:r>
            <w:proofErr w:type="spellEnd"/>
          </w:p>
        </w:tc>
        <w:tc>
          <w:tcPr>
            <w:tcW w:w="6047" w:type="dxa"/>
            <w:shd w:val="clear" w:color="auto" w:fill="auto"/>
          </w:tcPr>
          <w:p w14:paraId="3F4D1C53" w14:textId="77777777" w:rsidR="005A2874" w:rsidRPr="00C63F5F" w:rsidRDefault="005A2874" w:rsidP="00683E0E">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0C447ACA" w14:textId="77777777" w:rsidR="005A2874" w:rsidRPr="00C63F5F" w:rsidRDefault="005A2874" w:rsidP="00683E0E">
            <w:pPr>
              <w:spacing w:after="0"/>
            </w:pPr>
            <w:r>
              <w:t xml:space="preserve">Pas de </w:t>
            </w:r>
            <w:proofErr w:type="spellStart"/>
            <w:r>
              <w:t>remarques</w:t>
            </w:r>
            <w:proofErr w:type="spellEnd"/>
            <w:r>
              <w:t>.</w:t>
            </w:r>
          </w:p>
        </w:tc>
      </w:tr>
    </w:tbl>
    <w:p w14:paraId="12CE304F" w14:textId="77777777" w:rsidR="001203BA" w:rsidRPr="0047203B" w:rsidRDefault="001203BA" w:rsidP="001203BA">
      <w:pPr>
        <w:rPr>
          <w:lang w:val="fr-FR"/>
        </w:rPr>
      </w:pPr>
    </w:p>
    <w:p w14:paraId="0B20068B"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25F3"/>
    <w:rsid w:val="00025BD5"/>
    <w:rsid w:val="00036F85"/>
    <w:rsid w:val="00071562"/>
    <w:rsid w:val="000B17B4"/>
    <w:rsid w:val="000D6EAF"/>
    <w:rsid w:val="000E14C5"/>
    <w:rsid w:val="000F28E4"/>
    <w:rsid w:val="00102D66"/>
    <w:rsid w:val="00104701"/>
    <w:rsid w:val="00111D98"/>
    <w:rsid w:val="001124BA"/>
    <w:rsid w:val="0011776E"/>
    <w:rsid w:val="001203BA"/>
    <w:rsid w:val="001274D6"/>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135B"/>
    <w:rsid w:val="00214ADA"/>
    <w:rsid w:val="00216A35"/>
    <w:rsid w:val="002337A0"/>
    <w:rsid w:val="00251BBF"/>
    <w:rsid w:val="00253930"/>
    <w:rsid w:val="002562D5"/>
    <w:rsid w:val="00262FAA"/>
    <w:rsid w:val="0026584A"/>
    <w:rsid w:val="00267866"/>
    <w:rsid w:val="00271C8A"/>
    <w:rsid w:val="00274C37"/>
    <w:rsid w:val="00276531"/>
    <w:rsid w:val="00283177"/>
    <w:rsid w:val="002912FD"/>
    <w:rsid w:val="0029665A"/>
    <w:rsid w:val="00297FF6"/>
    <w:rsid w:val="002A12C9"/>
    <w:rsid w:val="002A4557"/>
    <w:rsid w:val="002A5831"/>
    <w:rsid w:val="002B3F2F"/>
    <w:rsid w:val="002C622E"/>
    <w:rsid w:val="002D76A6"/>
    <w:rsid w:val="002E665B"/>
    <w:rsid w:val="002F7950"/>
    <w:rsid w:val="00300B84"/>
    <w:rsid w:val="00302A76"/>
    <w:rsid w:val="00306533"/>
    <w:rsid w:val="00306738"/>
    <w:rsid w:val="003340F4"/>
    <w:rsid w:val="00340C21"/>
    <w:rsid w:val="00345F07"/>
    <w:rsid w:val="003564D8"/>
    <w:rsid w:val="00357D30"/>
    <w:rsid w:val="00367502"/>
    <w:rsid w:val="003831C0"/>
    <w:rsid w:val="00392936"/>
    <w:rsid w:val="003A1C6D"/>
    <w:rsid w:val="003A3D34"/>
    <w:rsid w:val="003A7991"/>
    <w:rsid w:val="003B06EB"/>
    <w:rsid w:val="003B15A0"/>
    <w:rsid w:val="003C38B1"/>
    <w:rsid w:val="003D744D"/>
    <w:rsid w:val="003F24EE"/>
    <w:rsid w:val="003F6F60"/>
    <w:rsid w:val="00415C03"/>
    <w:rsid w:val="00423115"/>
    <w:rsid w:val="00425273"/>
    <w:rsid w:val="004334BF"/>
    <w:rsid w:val="00441E30"/>
    <w:rsid w:val="004443F2"/>
    <w:rsid w:val="004637CE"/>
    <w:rsid w:val="0047203B"/>
    <w:rsid w:val="00492278"/>
    <w:rsid w:val="00492FE9"/>
    <w:rsid w:val="004A39E3"/>
    <w:rsid w:val="004C3052"/>
    <w:rsid w:val="004C63AD"/>
    <w:rsid w:val="00502CB1"/>
    <w:rsid w:val="005133BD"/>
    <w:rsid w:val="00513F84"/>
    <w:rsid w:val="00525185"/>
    <w:rsid w:val="005364B4"/>
    <w:rsid w:val="005415E2"/>
    <w:rsid w:val="00552D57"/>
    <w:rsid w:val="00562DB1"/>
    <w:rsid w:val="00585D82"/>
    <w:rsid w:val="005A2874"/>
    <w:rsid w:val="005A3C17"/>
    <w:rsid w:val="005A7179"/>
    <w:rsid w:val="005B25E3"/>
    <w:rsid w:val="005B2F3D"/>
    <w:rsid w:val="005C4198"/>
    <w:rsid w:val="005C7CE3"/>
    <w:rsid w:val="005D02C8"/>
    <w:rsid w:val="005D039B"/>
    <w:rsid w:val="005D1201"/>
    <w:rsid w:val="005E5BE5"/>
    <w:rsid w:val="005E7872"/>
    <w:rsid w:val="006132F3"/>
    <w:rsid w:val="00621861"/>
    <w:rsid w:val="00631F09"/>
    <w:rsid w:val="0063632B"/>
    <w:rsid w:val="0064095E"/>
    <w:rsid w:val="00645D75"/>
    <w:rsid w:val="00650083"/>
    <w:rsid w:val="00651E0F"/>
    <w:rsid w:val="00657805"/>
    <w:rsid w:val="0066155A"/>
    <w:rsid w:val="0068143A"/>
    <w:rsid w:val="00683E0E"/>
    <w:rsid w:val="00686C06"/>
    <w:rsid w:val="006920C9"/>
    <w:rsid w:val="006A735D"/>
    <w:rsid w:val="006B2AA7"/>
    <w:rsid w:val="006C40D2"/>
    <w:rsid w:val="006C529C"/>
    <w:rsid w:val="006D501B"/>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848"/>
    <w:rsid w:val="00833A2D"/>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6E5F"/>
    <w:rsid w:val="009172D4"/>
    <w:rsid w:val="0093030C"/>
    <w:rsid w:val="00931894"/>
    <w:rsid w:val="00935E60"/>
    <w:rsid w:val="00943313"/>
    <w:rsid w:val="009460AE"/>
    <w:rsid w:val="009627E9"/>
    <w:rsid w:val="0096303B"/>
    <w:rsid w:val="0098698D"/>
    <w:rsid w:val="009A4260"/>
    <w:rsid w:val="009B3BE6"/>
    <w:rsid w:val="009C0DC9"/>
    <w:rsid w:val="009D0B3E"/>
    <w:rsid w:val="009F648C"/>
    <w:rsid w:val="009F7906"/>
    <w:rsid w:val="00A0074A"/>
    <w:rsid w:val="00A01EFB"/>
    <w:rsid w:val="00A152BE"/>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B03864"/>
    <w:rsid w:val="00B14FC3"/>
    <w:rsid w:val="00B15F17"/>
    <w:rsid w:val="00B41CE6"/>
    <w:rsid w:val="00B43558"/>
    <w:rsid w:val="00B44890"/>
    <w:rsid w:val="00B50606"/>
    <w:rsid w:val="00B61E27"/>
    <w:rsid w:val="00B6333A"/>
    <w:rsid w:val="00B779CF"/>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7A8C"/>
    <w:rsid w:val="00C80883"/>
    <w:rsid w:val="00C80921"/>
    <w:rsid w:val="00C86467"/>
    <w:rsid w:val="00C86CC5"/>
    <w:rsid w:val="00C91A38"/>
    <w:rsid w:val="00CA1557"/>
    <w:rsid w:val="00CA5454"/>
    <w:rsid w:val="00CB08CB"/>
    <w:rsid w:val="00CB210A"/>
    <w:rsid w:val="00CC6422"/>
    <w:rsid w:val="00D22227"/>
    <w:rsid w:val="00D42D9B"/>
    <w:rsid w:val="00D46773"/>
    <w:rsid w:val="00D66D82"/>
    <w:rsid w:val="00D751E3"/>
    <w:rsid w:val="00D8405B"/>
    <w:rsid w:val="00D931FB"/>
    <w:rsid w:val="00D96002"/>
    <w:rsid w:val="00DA0AF3"/>
    <w:rsid w:val="00DB5C97"/>
    <w:rsid w:val="00DE1FCC"/>
    <w:rsid w:val="00E15370"/>
    <w:rsid w:val="00E15CFE"/>
    <w:rsid w:val="00E21F8D"/>
    <w:rsid w:val="00E26DE4"/>
    <w:rsid w:val="00E511E0"/>
    <w:rsid w:val="00E53C0F"/>
    <w:rsid w:val="00E719D5"/>
    <w:rsid w:val="00E72BF6"/>
    <w:rsid w:val="00E743EE"/>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F2E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996</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2019-11-08T09:48:00Z</dcterms:created>
  <dcterms:modified xsi:type="dcterms:W3CDTF">2022-02-07T13:26:00Z</dcterms:modified>
</cp:coreProperties>
</file>