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8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906"/>
        <w:gridCol w:w="5670"/>
        <w:gridCol w:w="283"/>
      </w:tblGrid>
      <w:tr w:rsidR="001203BA" w:rsidRPr="00534740" w14:paraId="0D45E24A" w14:textId="77777777" w:rsidTr="00CC60D5">
        <w:tc>
          <w:tcPr>
            <w:tcW w:w="13698" w:type="dxa"/>
            <w:gridSpan w:val="3"/>
          </w:tcPr>
          <w:p w14:paraId="1B13FFC6" w14:textId="77777777" w:rsidR="001203BA" w:rsidRPr="00B07AC9" w:rsidRDefault="00943D31" w:rsidP="002663D8">
            <w:pPr>
              <w:rPr>
                <w:b/>
                <w:sz w:val="32"/>
                <w:szCs w:val="32"/>
                <w:lang w:val="nl-BE"/>
              </w:rPr>
            </w:pPr>
            <w:r>
              <w:rPr>
                <w:b/>
                <w:sz w:val="32"/>
                <w:szCs w:val="32"/>
                <w:lang w:val="nl-BE"/>
              </w:rPr>
              <w:t>Hoofdstuk 3. – D</w:t>
            </w:r>
            <w:r w:rsidR="00D73EC0" w:rsidRPr="00D73EC0">
              <w:rPr>
                <w:b/>
                <w:sz w:val="32"/>
                <w:szCs w:val="32"/>
                <w:lang w:val="nl-BE"/>
              </w:rPr>
              <w:t>uaal bestuur</w:t>
            </w:r>
          </w:p>
        </w:tc>
        <w:tc>
          <w:tcPr>
            <w:tcW w:w="283" w:type="dxa"/>
            <w:shd w:val="clear" w:color="auto" w:fill="auto"/>
          </w:tcPr>
          <w:p w14:paraId="69481476" w14:textId="77777777" w:rsidR="001B29CB" w:rsidRPr="00817408" w:rsidRDefault="001B29CB" w:rsidP="002663D8">
            <w:pPr>
              <w:rPr>
                <w:rFonts w:ascii="Cambria" w:eastAsia="Calibri" w:hAnsi="Cambria" w:cs="Times New Roman"/>
                <w:b/>
                <w:bCs/>
                <w:iCs/>
                <w:color w:val="4F81BD"/>
                <w:sz w:val="32"/>
                <w:szCs w:val="26"/>
                <w:lang w:val="nl-NL" w:eastAsia="fr-FR"/>
              </w:rPr>
            </w:pPr>
          </w:p>
        </w:tc>
      </w:tr>
      <w:tr w:rsidR="001203BA" w:rsidRPr="00534740" w14:paraId="0B80DD89" w14:textId="77777777" w:rsidTr="00CC60D5">
        <w:tc>
          <w:tcPr>
            <w:tcW w:w="2122" w:type="dxa"/>
          </w:tcPr>
          <w:p w14:paraId="4D06E82E" w14:textId="77777777" w:rsidR="001203BA" w:rsidRPr="00B07AC9" w:rsidRDefault="0070142C" w:rsidP="002663D8">
            <w:pPr>
              <w:rPr>
                <w:b/>
                <w:sz w:val="32"/>
                <w:szCs w:val="32"/>
                <w:lang w:val="nl-BE"/>
              </w:rPr>
            </w:pPr>
            <w:r>
              <w:rPr>
                <w:b/>
                <w:sz w:val="32"/>
                <w:szCs w:val="32"/>
                <w:lang w:val="nl-BE"/>
              </w:rPr>
              <w:t>ARTIKEL 15:19</w:t>
            </w:r>
          </w:p>
        </w:tc>
        <w:tc>
          <w:tcPr>
            <w:tcW w:w="11859" w:type="dxa"/>
            <w:gridSpan w:val="3"/>
            <w:shd w:val="clear" w:color="auto" w:fill="auto"/>
          </w:tcPr>
          <w:p w14:paraId="1D060880" w14:textId="77777777" w:rsidR="001203BA" w:rsidRPr="007B17CA" w:rsidRDefault="001203BA" w:rsidP="002663D8">
            <w:pPr>
              <w:jc w:val="center"/>
              <w:rPr>
                <w:rFonts w:ascii="Cambria" w:eastAsia="Calibri" w:hAnsi="Cambria" w:cs="Times New Roman"/>
                <w:b/>
                <w:bCs/>
                <w:color w:val="4F81BD"/>
                <w:sz w:val="32"/>
                <w:szCs w:val="26"/>
                <w:lang w:val="nl-NL" w:eastAsia="fr-FR"/>
              </w:rPr>
            </w:pPr>
          </w:p>
        </w:tc>
      </w:tr>
      <w:tr w:rsidR="00D73EC0" w:rsidRPr="00534740" w14:paraId="3B584268" w14:textId="77777777" w:rsidTr="00CC60D5">
        <w:tc>
          <w:tcPr>
            <w:tcW w:w="2122" w:type="dxa"/>
          </w:tcPr>
          <w:p w14:paraId="69BF8BBC" w14:textId="77777777" w:rsidR="00D73EC0" w:rsidRDefault="00D73EC0" w:rsidP="002663D8">
            <w:pPr>
              <w:rPr>
                <w:b/>
                <w:sz w:val="32"/>
                <w:szCs w:val="32"/>
                <w:lang w:val="nl-BE"/>
              </w:rPr>
            </w:pPr>
          </w:p>
        </w:tc>
        <w:tc>
          <w:tcPr>
            <w:tcW w:w="11859" w:type="dxa"/>
            <w:gridSpan w:val="3"/>
            <w:shd w:val="clear" w:color="auto" w:fill="auto"/>
          </w:tcPr>
          <w:p w14:paraId="7460A9A0" w14:textId="77777777" w:rsidR="00D73EC0" w:rsidRPr="007B17CA" w:rsidRDefault="00D73EC0" w:rsidP="002663D8">
            <w:pPr>
              <w:jc w:val="center"/>
              <w:rPr>
                <w:rFonts w:ascii="Cambria" w:eastAsia="Calibri" w:hAnsi="Cambria" w:cs="Times New Roman"/>
                <w:b/>
                <w:bCs/>
                <w:color w:val="4F81BD"/>
                <w:sz w:val="32"/>
                <w:szCs w:val="26"/>
                <w:lang w:val="nl-NL" w:eastAsia="fr-FR"/>
              </w:rPr>
            </w:pPr>
          </w:p>
        </w:tc>
      </w:tr>
      <w:tr w:rsidR="0070142C" w:rsidRPr="00CC60D5" w14:paraId="3BA040EC" w14:textId="77777777" w:rsidTr="00CC60D5">
        <w:trPr>
          <w:trHeight w:val="3921"/>
        </w:trPr>
        <w:tc>
          <w:tcPr>
            <w:tcW w:w="2122" w:type="dxa"/>
          </w:tcPr>
          <w:p w14:paraId="43F85D2F" w14:textId="77777777" w:rsidR="0070142C" w:rsidRDefault="0070142C" w:rsidP="002663D8">
            <w:pPr>
              <w:spacing w:after="0" w:line="240" w:lineRule="auto"/>
              <w:rPr>
                <w:rFonts w:cs="Calibri"/>
                <w:lang w:val="nl-BE"/>
              </w:rPr>
            </w:pPr>
            <w:r>
              <w:rPr>
                <w:rFonts w:cs="Calibri"/>
                <w:lang w:val="nl-BE"/>
              </w:rPr>
              <w:t>WVV</w:t>
            </w:r>
          </w:p>
        </w:tc>
        <w:tc>
          <w:tcPr>
            <w:tcW w:w="5906" w:type="dxa"/>
            <w:shd w:val="clear" w:color="auto" w:fill="auto"/>
          </w:tcPr>
          <w:p w14:paraId="2A1B9FE7" w14:textId="0CB62F43" w:rsidR="0070142C" w:rsidRDefault="0070142C" w:rsidP="002663D8">
            <w:pPr>
              <w:spacing w:after="0" w:line="240" w:lineRule="auto"/>
              <w:jc w:val="both"/>
              <w:rPr>
                <w:rFonts w:cs="Calibri"/>
                <w:lang w:val="nl-BE"/>
              </w:rPr>
            </w:pPr>
            <w:r w:rsidRPr="002D0319">
              <w:rPr>
                <w:rFonts w:cs="Calibri"/>
                <w:lang w:val="nl-BE"/>
              </w:rPr>
              <w:t xml:space="preserve">§ 1. Overeenkomstig artikel 39, lid 1, van verordening (EG) nr. 2157/2001, oefent, in een Europese vennootschap met een duaal bestuur, de directieraad alle bevoegdheden uit die overeenkomstig </w:t>
            </w:r>
            <w:r w:rsidR="008F5FBB">
              <w:rPr>
                <w:rFonts w:cs="Calibri"/>
                <w:lang w:val="nl-BE"/>
              </w:rPr>
              <w:fldChar w:fldCharType="begin"/>
            </w:r>
            <w:r w:rsidR="008F5FBB">
              <w:rPr>
                <w:rFonts w:cs="Calibri"/>
                <w:lang w:val="nl-BE"/>
              </w:rPr>
              <w:instrText xml:space="preserve"> HYPERLINK  \l "_Amendement_297" </w:instrText>
            </w:r>
            <w:r w:rsidR="008F5FBB">
              <w:rPr>
                <w:rFonts w:cs="Calibri"/>
                <w:lang w:val="nl-BE"/>
              </w:rPr>
            </w:r>
            <w:r w:rsidR="008F5FBB">
              <w:rPr>
                <w:rFonts w:cs="Calibri"/>
                <w:lang w:val="nl-BE"/>
              </w:rPr>
              <w:fldChar w:fldCharType="separate"/>
            </w:r>
            <w:r w:rsidRPr="008F5FBB">
              <w:rPr>
                <w:rStyle w:val="Hyperlink"/>
                <w:rFonts w:cs="Calibri"/>
                <w:lang w:val="nl-BE"/>
              </w:rPr>
              <w:t>artike</w:t>
            </w:r>
            <w:r w:rsidRPr="008F5FBB">
              <w:rPr>
                <w:rStyle w:val="Hyperlink"/>
                <w:rFonts w:cs="Calibri"/>
                <w:lang w:val="nl-BE"/>
              </w:rPr>
              <w:t>l</w:t>
            </w:r>
            <w:r w:rsidRPr="008F5FBB">
              <w:rPr>
                <w:rStyle w:val="Hyperlink"/>
                <w:rFonts w:cs="Calibri"/>
                <w:lang w:val="nl-BE"/>
              </w:rPr>
              <w:t xml:space="preserve"> 7:109</w:t>
            </w:r>
            <w:r w:rsidR="008F5FBB">
              <w:rPr>
                <w:rFonts w:cs="Calibri"/>
                <w:lang w:val="nl-BE"/>
              </w:rPr>
              <w:fldChar w:fldCharType="end"/>
            </w:r>
            <w:r w:rsidRPr="002D0319">
              <w:rPr>
                <w:rFonts w:cs="Calibri"/>
                <w:lang w:val="nl-BE"/>
              </w:rPr>
              <w:t xml:space="preserve"> in een duaal stelsel aan de raad van toezicht toekomen, met uitzondering van het toezicht op de directieraad</w:t>
            </w:r>
            <w:r>
              <w:rPr>
                <w:rFonts w:cs="Calibri"/>
                <w:lang w:val="nl-BE"/>
              </w:rPr>
              <w:t>.</w:t>
            </w:r>
          </w:p>
          <w:p w14:paraId="00D233DE" w14:textId="77777777" w:rsidR="0070142C" w:rsidRDefault="0070142C" w:rsidP="002663D8">
            <w:pPr>
              <w:spacing w:after="0" w:line="240" w:lineRule="auto"/>
              <w:jc w:val="both"/>
              <w:rPr>
                <w:rFonts w:cs="Calibri"/>
                <w:lang w:val="nl-BE"/>
              </w:rPr>
            </w:pPr>
          </w:p>
          <w:p w14:paraId="1B1C820D" w14:textId="77777777" w:rsidR="0070142C" w:rsidRDefault="0070142C" w:rsidP="002663D8">
            <w:pPr>
              <w:spacing w:after="0" w:line="240" w:lineRule="auto"/>
              <w:jc w:val="both"/>
              <w:rPr>
                <w:rFonts w:cs="Calibri"/>
                <w:bCs/>
                <w:iCs/>
                <w:lang w:val="nl-BE"/>
              </w:rPr>
            </w:pPr>
            <w:r w:rsidRPr="002D0319">
              <w:rPr>
                <w:rFonts w:cs="Calibri"/>
                <w:bCs/>
                <w:iCs/>
                <w:lang w:val="nl-BE"/>
              </w:rPr>
              <w:t>De raad van toezicht mag zich op geen enkele wijze met het bestuur van de vennootschap bemoeien.</w:t>
            </w:r>
          </w:p>
          <w:p w14:paraId="2FB5DB41" w14:textId="77777777" w:rsidR="0070142C" w:rsidRDefault="0070142C" w:rsidP="002663D8">
            <w:pPr>
              <w:spacing w:after="0" w:line="240" w:lineRule="auto"/>
              <w:jc w:val="both"/>
              <w:rPr>
                <w:rFonts w:cs="Calibri"/>
                <w:bCs/>
                <w:iCs/>
                <w:lang w:val="nl-BE"/>
              </w:rPr>
            </w:pPr>
          </w:p>
          <w:p w14:paraId="6EA92A3C" w14:textId="77777777" w:rsidR="0070142C" w:rsidRDefault="0070142C" w:rsidP="002663D8">
            <w:pPr>
              <w:spacing w:after="0" w:line="240" w:lineRule="auto"/>
              <w:jc w:val="both"/>
              <w:rPr>
                <w:rFonts w:cs="Calibri"/>
                <w:bCs/>
                <w:iCs/>
                <w:lang w:val="nl-BE"/>
              </w:rPr>
            </w:pPr>
            <w:r w:rsidRPr="002D0319">
              <w:rPr>
                <w:rFonts w:cs="Calibri"/>
                <w:bCs/>
                <w:iCs/>
                <w:lang w:val="nl-BE"/>
              </w:rPr>
              <w:t>De statuten kunnen evenwel de handelingen bepalen waarvoor de directieraad de goedkeuring van de raad van toezicht moet krĳgen</w:t>
            </w:r>
            <w:r>
              <w:rPr>
                <w:rFonts w:cs="Calibri"/>
                <w:bCs/>
                <w:iCs/>
                <w:lang w:val="nl-BE"/>
              </w:rPr>
              <w:t>.</w:t>
            </w:r>
          </w:p>
          <w:p w14:paraId="6AC62B47" w14:textId="77777777" w:rsidR="0070142C" w:rsidRDefault="0070142C" w:rsidP="002663D8">
            <w:pPr>
              <w:spacing w:after="0" w:line="240" w:lineRule="auto"/>
              <w:jc w:val="both"/>
              <w:rPr>
                <w:rFonts w:cs="Calibri"/>
                <w:bCs/>
                <w:iCs/>
                <w:lang w:val="nl-BE"/>
              </w:rPr>
            </w:pPr>
          </w:p>
          <w:p w14:paraId="4F77458B" w14:textId="53B0BBBB" w:rsidR="0070142C" w:rsidRPr="00943D31" w:rsidRDefault="0070142C" w:rsidP="002663D8">
            <w:pPr>
              <w:spacing w:after="0" w:line="240" w:lineRule="auto"/>
              <w:jc w:val="both"/>
              <w:rPr>
                <w:rFonts w:cs="Calibri"/>
                <w:bCs/>
                <w:iCs/>
                <w:lang w:val="nl-BE"/>
              </w:rPr>
            </w:pPr>
            <w:r w:rsidRPr="002D0319">
              <w:rPr>
                <w:rFonts w:cs="Calibri"/>
                <w:bCs/>
                <w:iCs/>
                <w:lang w:val="nl-BE"/>
              </w:rPr>
              <w:t>§ 2. De artikelen 7:86, 7:87</w:t>
            </w:r>
            <w:r>
              <w:rPr>
                <w:rFonts w:cs="Calibri"/>
                <w:bCs/>
                <w:iCs/>
                <w:lang w:val="nl-BE"/>
              </w:rPr>
              <w:t xml:space="preserve">, </w:t>
            </w:r>
            <w:hyperlink w:anchor="_Amendement_424" w:history="1">
              <w:r w:rsidRPr="008F5FBB">
                <w:rPr>
                  <w:rStyle w:val="Hyperlink"/>
                  <w:rFonts w:cs="Calibri"/>
                  <w:bCs/>
                  <w:iCs/>
                  <w:lang w:val="nl-BE"/>
                </w:rPr>
                <w:t>7:88, 7:99 en 7:100</w:t>
              </w:r>
            </w:hyperlink>
            <w:r w:rsidRPr="002D0319">
              <w:rPr>
                <w:rFonts w:cs="Calibri"/>
                <w:bCs/>
                <w:iCs/>
                <w:lang w:val="nl-BE"/>
              </w:rPr>
              <w:t xml:space="preserve"> zijn van toepassing op de raad van toezicht</w:t>
            </w:r>
            <w:r>
              <w:rPr>
                <w:rFonts w:cs="Calibri"/>
                <w:bCs/>
                <w:iCs/>
                <w:lang w:val="nl-BE"/>
              </w:rPr>
              <w:t>.</w:t>
            </w:r>
          </w:p>
        </w:tc>
        <w:tc>
          <w:tcPr>
            <w:tcW w:w="5953" w:type="dxa"/>
            <w:gridSpan w:val="2"/>
            <w:shd w:val="clear" w:color="auto" w:fill="auto"/>
          </w:tcPr>
          <w:p w14:paraId="2DB3BDFD" w14:textId="21DD180F" w:rsidR="0070142C" w:rsidRDefault="0070142C" w:rsidP="002663D8">
            <w:pPr>
              <w:spacing w:after="0" w:line="240" w:lineRule="auto"/>
              <w:jc w:val="both"/>
              <w:rPr>
                <w:rFonts w:cs="Calibri"/>
                <w:lang w:val="fr-BE"/>
              </w:rPr>
            </w:pPr>
            <w:r w:rsidRPr="002D0319">
              <w:rPr>
                <w:rFonts w:cs="Calibri"/>
                <w:lang w:val="fr-BE"/>
              </w:rPr>
              <w:t>§ 1</w:t>
            </w:r>
            <w:r w:rsidRPr="002D0319">
              <w:rPr>
                <w:rFonts w:cs="Calibri"/>
                <w:vertAlign w:val="superscript"/>
                <w:lang w:val="fr-BE"/>
              </w:rPr>
              <w:t>er</w:t>
            </w:r>
            <w:r w:rsidRPr="002D0319">
              <w:rPr>
                <w:rFonts w:cs="Calibri"/>
                <w:lang w:val="fr-BE"/>
              </w:rPr>
              <w:t>. Conformément à l’article 39, § 1</w:t>
            </w:r>
            <w:r w:rsidRPr="002D0319">
              <w:rPr>
                <w:rFonts w:cs="Calibri"/>
                <w:vertAlign w:val="superscript"/>
                <w:lang w:val="fr-BE"/>
              </w:rPr>
              <w:t>er</w:t>
            </w:r>
            <w:r w:rsidRPr="002D0319">
              <w:rPr>
                <w:rFonts w:cs="Calibri"/>
                <w:lang w:val="fr-BE"/>
              </w:rPr>
              <w:t xml:space="preserve">, du règlement (CE) n° 2157/2001, le conseil de direction d’une société européenne à administration duale exerce tous les pouvoirs qui, conformément à </w:t>
            </w:r>
            <w:hyperlink w:anchor="_Amendement_297_1" w:history="1">
              <w:r w:rsidRPr="008F5FBB">
                <w:rPr>
                  <w:rStyle w:val="Hyperlink"/>
                  <w:rFonts w:cs="Calibri"/>
                  <w:lang w:val="fr-BE"/>
                </w:rPr>
                <w:t>l'article 7:109</w:t>
              </w:r>
            </w:hyperlink>
            <w:r w:rsidRPr="002D0319">
              <w:rPr>
                <w:rFonts w:cs="Calibri"/>
                <w:lang w:val="fr-BE"/>
              </w:rPr>
              <w:t>, incombent au conseil de surveillance dans un système dual, à l’exception de la surveillance du conseil de direction</w:t>
            </w:r>
            <w:r>
              <w:rPr>
                <w:rFonts w:cs="Calibri"/>
                <w:lang w:val="fr-BE"/>
              </w:rPr>
              <w:t>.</w:t>
            </w:r>
          </w:p>
          <w:p w14:paraId="638C5A3D" w14:textId="77777777" w:rsidR="00943D31" w:rsidRDefault="00943D31" w:rsidP="002663D8">
            <w:pPr>
              <w:spacing w:after="0" w:line="240" w:lineRule="auto"/>
              <w:jc w:val="both"/>
              <w:rPr>
                <w:rFonts w:cs="Calibri"/>
                <w:lang w:val="fr-BE"/>
              </w:rPr>
            </w:pPr>
          </w:p>
          <w:p w14:paraId="1A6ED35E" w14:textId="77777777" w:rsidR="0070142C" w:rsidRDefault="0070142C" w:rsidP="002663D8">
            <w:pPr>
              <w:spacing w:after="0" w:line="240" w:lineRule="auto"/>
              <w:jc w:val="both"/>
              <w:rPr>
                <w:rFonts w:cs="Calibri"/>
                <w:lang w:val="fr-BE"/>
              </w:rPr>
            </w:pPr>
            <w:r w:rsidRPr="002D0319">
              <w:rPr>
                <w:rFonts w:cs="Calibri"/>
                <w:lang w:val="fr-BE"/>
              </w:rPr>
              <w:t>Le conseil de surveillance ne peut en aucune manière s’ingérer dans l’administration de la société</w:t>
            </w:r>
            <w:r>
              <w:rPr>
                <w:rFonts w:cs="Calibri"/>
                <w:lang w:val="fr-BE"/>
              </w:rPr>
              <w:t>.</w:t>
            </w:r>
          </w:p>
          <w:p w14:paraId="28AF84A2" w14:textId="77777777" w:rsidR="0070142C" w:rsidRDefault="0070142C" w:rsidP="002663D8">
            <w:pPr>
              <w:spacing w:after="0" w:line="240" w:lineRule="auto"/>
              <w:jc w:val="both"/>
              <w:rPr>
                <w:rFonts w:cs="Calibri"/>
                <w:lang w:val="fr-BE"/>
              </w:rPr>
            </w:pPr>
          </w:p>
          <w:p w14:paraId="707FF944" w14:textId="77777777" w:rsidR="0070142C" w:rsidRDefault="0070142C" w:rsidP="002663D8">
            <w:pPr>
              <w:spacing w:after="0" w:line="240" w:lineRule="auto"/>
              <w:jc w:val="both"/>
              <w:rPr>
                <w:rFonts w:cs="Calibri"/>
                <w:lang w:val="fr-BE"/>
              </w:rPr>
            </w:pPr>
            <w:r w:rsidRPr="002D0319">
              <w:rPr>
                <w:rFonts w:cs="Calibri"/>
                <w:lang w:val="fr-BE"/>
              </w:rPr>
              <w:t>Les statuts peuvent toutefois déterminer les opérations pour lesquelles le conseil de direction doit recevoir l’autorisation du conseil de surveillance</w:t>
            </w:r>
            <w:r>
              <w:rPr>
                <w:rFonts w:cs="Calibri"/>
                <w:lang w:val="fr-BE"/>
              </w:rPr>
              <w:t>.</w:t>
            </w:r>
          </w:p>
          <w:p w14:paraId="788A8B4E" w14:textId="77777777" w:rsidR="0070142C" w:rsidRDefault="0070142C" w:rsidP="002663D8">
            <w:pPr>
              <w:spacing w:after="0" w:line="240" w:lineRule="auto"/>
              <w:jc w:val="both"/>
              <w:rPr>
                <w:rFonts w:cs="Calibri"/>
                <w:lang w:val="fr-BE"/>
              </w:rPr>
            </w:pPr>
          </w:p>
          <w:p w14:paraId="760F14DC" w14:textId="4D838B58" w:rsidR="0070142C" w:rsidRPr="00943D31" w:rsidRDefault="0070142C" w:rsidP="002663D8">
            <w:pPr>
              <w:spacing w:after="0" w:line="240" w:lineRule="auto"/>
              <w:jc w:val="both"/>
              <w:rPr>
                <w:rFonts w:cs="Calibri"/>
                <w:lang w:val="fr-FR"/>
              </w:rPr>
            </w:pPr>
            <w:r w:rsidRPr="002D0319">
              <w:rPr>
                <w:rFonts w:cs="Calibri"/>
                <w:lang w:val="fr-FR"/>
              </w:rPr>
              <w:t>§ 2. Les articles 7:86, 7:87</w:t>
            </w:r>
            <w:r>
              <w:rPr>
                <w:rFonts w:cs="Calibri"/>
                <w:lang w:val="fr-FR"/>
              </w:rPr>
              <w:t xml:space="preserve">, </w:t>
            </w:r>
            <w:hyperlink w:anchor="_Amendement_424_1" w:history="1">
              <w:r w:rsidRPr="008F5FBB">
                <w:rPr>
                  <w:rStyle w:val="Hyperlink"/>
                  <w:rFonts w:cs="Calibri"/>
                  <w:lang w:val="fr-FR"/>
                </w:rPr>
                <w:t>7 :88, 7 :99 et 7:100</w:t>
              </w:r>
            </w:hyperlink>
            <w:bookmarkStart w:id="0" w:name="_GoBack"/>
            <w:bookmarkEnd w:id="0"/>
            <w:r w:rsidRPr="002D0319">
              <w:rPr>
                <w:rFonts w:cs="Calibri"/>
                <w:lang w:val="fr-FR"/>
              </w:rPr>
              <w:t xml:space="preserve"> sont applicables au conseil de surveillance.</w:t>
            </w:r>
          </w:p>
        </w:tc>
      </w:tr>
      <w:tr w:rsidR="00D66351" w:rsidRPr="00CC60D5" w14:paraId="05D86CA5" w14:textId="77777777" w:rsidTr="00D66351">
        <w:trPr>
          <w:trHeight w:val="395"/>
        </w:trPr>
        <w:tc>
          <w:tcPr>
            <w:tcW w:w="2122" w:type="dxa"/>
          </w:tcPr>
          <w:p w14:paraId="0DE76119" w14:textId="77777777" w:rsidR="00D66351" w:rsidRPr="00104CB6" w:rsidRDefault="00D66351" w:rsidP="00E9206C">
            <w:pPr>
              <w:spacing w:after="0"/>
            </w:pPr>
            <w:proofErr w:type="spellStart"/>
            <w:r w:rsidRPr="00104CB6">
              <w:t>Ontwerp</w:t>
            </w:r>
            <w:proofErr w:type="spellEnd"/>
          </w:p>
        </w:tc>
        <w:tc>
          <w:tcPr>
            <w:tcW w:w="5906" w:type="dxa"/>
            <w:shd w:val="clear" w:color="auto" w:fill="auto"/>
          </w:tcPr>
          <w:p w14:paraId="0084BAE0" w14:textId="77777777" w:rsidR="00D66351" w:rsidRPr="00104CB6" w:rsidRDefault="00D66351" w:rsidP="00E9206C">
            <w:pPr>
              <w:spacing w:after="0"/>
            </w:pPr>
            <w:proofErr w:type="spellStart"/>
            <w:r w:rsidRPr="00104CB6">
              <w:t>Geen</w:t>
            </w:r>
            <w:proofErr w:type="spellEnd"/>
            <w:r w:rsidRPr="00104CB6">
              <w:t xml:space="preserve"> </w:t>
            </w:r>
            <w:proofErr w:type="spellStart"/>
            <w:r w:rsidRPr="00104CB6">
              <w:t>artikel</w:t>
            </w:r>
            <w:proofErr w:type="spellEnd"/>
            <w:r>
              <w:t>.</w:t>
            </w:r>
          </w:p>
        </w:tc>
        <w:tc>
          <w:tcPr>
            <w:tcW w:w="5953" w:type="dxa"/>
            <w:gridSpan w:val="2"/>
            <w:shd w:val="clear" w:color="auto" w:fill="auto"/>
          </w:tcPr>
          <w:p w14:paraId="7F01DF17" w14:textId="77777777" w:rsidR="00D66351" w:rsidRDefault="00D66351" w:rsidP="00E9206C">
            <w:pPr>
              <w:spacing w:after="0"/>
            </w:pPr>
            <w:r w:rsidRPr="00104CB6">
              <w:t xml:space="preserve">Pas </w:t>
            </w:r>
            <w:proofErr w:type="spellStart"/>
            <w:r w:rsidRPr="00104CB6">
              <w:t>d’article</w:t>
            </w:r>
            <w:proofErr w:type="spellEnd"/>
            <w:r>
              <w:t>.</w:t>
            </w:r>
          </w:p>
        </w:tc>
      </w:tr>
      <w:tr w:rsidR="00D66351" w:rsidRPr="007420C4" w14:paraId="45DCF3D6" w14:textId="77777777" w:rsidTr="00CC60D5">
        <w:trPr>
          <w:trHeight w:val="363"/>
        </w:trPr>
        <w:tc>
          <w:tcPr>
            <w:tcW w:w="2122" w:type="dxa"/>
          </w:tcPr>
          <w:p w14:paraId="5ACCBB8C" w14:textId="77777777" w:rsidR="00D66351" w:rsidRDefault="00D66351" w:rsidP="002663D8">
            <w:pPr>
              <w:spacing w:after="0" w:line="240" w:lineRule="auto"/>
              <w:rPr>
                <w:rFonts w:cs="Calibri"/>
                <w:lang w:val="nl-BE"/>
              </w:rPr>
            </w:pPr>
            <w:r>
              <w:rPr>
                <w:rFonts w:cs="Calibri"/>
                <w:lang w:val="nl-BE"/>
              </w:rPr>
              <w:t>Voorontwerp</w:t>
            </w:r>
          </w:p>
        </w:tc>
        <w:tc>
          <w:tcPr>
            <w:tcW w:w="5906" w:type="dxa"/>
            <w:shd w:val="clear" w:color="auto" w:fill="auto"/>
          </w:tcPr>
          <w:p w14:paraId="7B43E03E" w14:textId="77777777" w:rsidR="00D66351" w:rsidRPr="002D0319" w:rsidRDefault="00D66351" w:rsidP="002663D8">
            <w:pPr>
              <w:spacing w:after="0" w:line="240" w:lineRule="auto"/>
              <w:jc w:val="both"/>
              <w:rPr>
                <w:rFonts w:cs="Calibri"/>
                <w:lang w:val="nl-BE"/>
              </w:rPr>
            </w:pPr>
            <w:r>
              <w:rPr>
                <w:rFonts w:cs="Calibri"/>
                <w:lang w:val="nl-BE"/>
              </w:rPr>
              <w:t>Geen artikel.</w:t>
            </w:r>
          </w:p>
        </w:tc>
        <w:tc>
          <w:tcPr>
            <w:tcW w:w="5953" w:type="dxa"/>
            <w:gridSpan w:val="2"/>
            <w:shd w:val="clear" w:color="auto" w:fill="auto"/>
          </w:tcPr>
          <w:p w14:paraId="75FEAA6C" w14:textId="77777777" w:rsidR="00D66351" w:rsidRPr="002D0319" w:rsidRDefault="00D66351" w:rsidP="002663D8">
            <w:pPr>
              <w:spacing w:after="0" w:line="240" w:lineRule="auto"/>
              <w:jc w:val="both"/>
              <w:rPr>
                <w:rFonts w:cs="Calibri"/>
                <w:lang w:val="fr-BE"/>
              </w:rPr>
            </w:pPr>
            <w:r>
              <w:rPr>
                <w:rFonts w:cs="Calibri"/>
                <w:lang w:val="fr-BE"/>
              </w:rPr>
              <w:t>Pas d’article.</w:t>
            </w:r>
          </w:p>
        </w:tc>
      </w:tr>
      <w:tr w:rsidR="00D66351" w:rsidRPr="00CC60D5" w14:paraId="0CAC9071" w14:textId="77777777" w:rsidTr="00CC60D5">
        <w:trPr>
          <w:trHeight w:val="411"/>
        </w:trPr>
        <w:tc>
          <w:tcPr>
            <w:tcW w:w="2122" w:type="dxa"/>
          </w:tcPr>
          <w:p w14:paraId="4883234C" w14:textId="77777777" w:rsidR="00D66351" w:rsidRPr="00104CB6" w:rsidRDefault="00D66351" w:rsidP="002663D8">
            <w:pPr>
              <w:spacing w:after="0"/>
            </w:pPr>
            <w:proofErr w:type="spellStart"/>
            <w:r>
              <w:t>MvT</w:t>
            </w:r>
            <w:proofErr w:type="spellEnd"/>
          </w:p>
        </w:tc>
        <w:tc>
          <w:tcPr>
            <w:tcW w:w="5906" w:type="dxa"/>
            <w:shd w:val="clear" w:color="auto" w:fill="auto"/>
          </w:tcPr>
          <w:p w14:paraId="69EDEA2E" w14:textId="77777777" w:rsidR="00D66351" w:rsidRPr="00943D31" w:rsidRDefault="00D66351" w:rsidP="002663D8">
            <w:pPr>
              <w:spacing w:after="0" w:line="240" w:lineRule="auto"/>
              <w:jc w:val="both"/>
              <w:rPr>
                <w:lang w:val="nl-BE"/>
              </w:rPr>
            </w:pPr>
            <w:r w:rsidRPr="00943D31">
              <w:rPr>
                <w:lang w:val="nl-BE"/>
              </w:rPr>
              <w:t>Voor het duale bestuur noopt de in de inleiding geschetste aanpak tot een verdere specificering, omdat het duale bestuur waarvoor is geopteerd in boek 7, en dat sterk is ingebed in de Belgische traditie en cultuur, op een aantal punten niet overeenstemt met het duale bestuur dat de Europese wetgever dwingend voorschrijft voor de SE, en dat meer aansluit bij de Duitse en de Nederlandse traditie.</w:t>
            </w:r>
          </w:p>
          <w:p w14:paraId="673DE32A" w14:textId="77777777" w:rsidR="00D66351" w:rsidRPr="00943D31" w:rsidRDefault="00D66351" w:rsidP="002663D8">
            <w:pPr>
              <w:spacing w:after="0" w:line="240" w:lineRule="auto"/>
              <w:jc w:val="both"/>
              <w:rPr>
                <w:lang w:val="nl-BE"/>
              </w:rPr>
            </w:pPr>
          </w:p>
          <w:p w14:paraId="4C40B725" w14:textId="77777777" w:rsidR="00D66351" w:rsidRPr="00943D31" w:rsidRDefault="00D66351" w:rsidP="002663D8">
            <w:pPr>
              <w:spacing w:after="0" w:line="240" w:lineRule="auto"/>
              <w:jc w:val="both"/>
              <w:rPr>
                <w:lang w:val="nl-BE"/>
              </w:rPr>
            </w:pPr>
            <w:r w:rsidRPr="00943D31">
              <w:rPr>
                <w:lang w:val="nl-BE"/>
              </w:rPr>
              <w:lastRenderedPageBreak/>
              <w:t>Het Europese duale stelsel maakt een veel strakkere scheiding tussen bestuur en toezicht: de bevoegdheid van de raad van toezicht is beperkt tot het toezicht op de directieraad. Wel kunnen de statuten, zoals artikel 48, lid 1, van verordening (EG) nr. 2157/2001 dat toelaat, voor een aantal handelingen van de directieraad de uitdrukkelijke goedkeuring van de raad van toezicht voorschrijven.</w:t>
            </w:r>
          </w:p>
          <w:p w14:paraId="69BEEE11" w14:textId="77777777" w:rsidR="00D66351" w:rsidRPr="00943D31" w:rsidRDefault="00D66351" w:rsidP="002663D8">
            <w:pPr>
              <w:spacing w:after="0" w:line="240" w:lineRule="auto"/>
              <w:jc w:val="both"/>
              <w:rPr>
                <w:lang w:val="nl-BE"/>
              </w:rPr>
            </w:pPr>
          </w:p>
          <w:p w14:paraId="5CBFE408" w14:textId="77777777" w:rsidR="00D66351" w:rsidRPr="00943D31" w:rsidRDefault="00D66351" w:rsidP="002663D8">
            <w:pPr>
              <w:spacing w:after="0" w:line="240" w:lineRule="auto"/>
              <w:jc w:val="both"/>
              <w:rPr>
                <w:lang w:val="nl-BE"/>
              </w:rPr>
            </w:pPr>
            <w:r w:rsidRPr="00943D31">
              <w:rPr>
                <w:lang w:val="nl-BE"/>
              </w:rPr>
              <w:t>Paragraaf 2 bevestigt dat de regels van gendervertegenwoordiging (artikel 7:74), en de bepalingen inzake de verplichte comités in genoteerde vennootschappen (artikelen 7:88 en 7:89) enkel van toepassing zijn op het niveau van de raad van toezicht.</w:t>
            </w:r>
          </w:p>
          <w:p w14:paraId="489BE949" w14:textId="77777777" w:rsidR="00D66351" w:rsidRPr="00943D31" w:rsidRDefault="00D66351" w:rsidP="002663D8">
            <w:pPr>
              <w:spacing w:after="0" w:line="240" w:lineRule="auto"/>
              <w:jc w:val="both"/>
              <w:rPr>
                <w:lang w:val="nl-BE"/>
              </w:rPr>
            </w:pPr>
          </w:p>
        </w:tc>
        <w:tc>
          <w:tcPr>
            <w:tcW w:w="5953" w:type="dxa"/>
            <w:gridSpan w:val="2"/>
            <w:shd w:val="clear" w:color="auto" w:fill="auto"/>
          </w:tcPr>
          <w:p w14:paraId="20518251" w14:textId="77777777" w:rsidR="00D66351" w:rsidRPr="00943D31" w:rsidRDefault="00D66351" w:rsidP="002663D8">
            <w:pPr>
              <w:spacing w:after="0" w:line="240" w:lineRule="auto"/>
              <w:jc w:val="both"/>
              <w:rPr>
                <w:lang w:val="fr-FR"/>
              </w:rPr>
            </w:pPr>
            <w:r w:rsidRPr="00943D31">
              <w:rPr>
                <w:lang w:val="fr-FR"/>
              </w:rPr>
              <w:lastRenderedPageBreak/>
              <w:t>Pour l’administration duale, l’approche esquissée dans l’introduction requiert une spécification supplémentaire, car l'administration duale retenue dans le livre 7, laquelle est fortement ancrée dans la tradition et la culture belges, ne correspond pas pour un certain nombre d’aspects à l’administration duale que le législateur européen prescrit impérativement pour la SE, et qui correspond davantage aux traditions allemande et néerlandaise.</w:t>
            </w:r>
          </w:p>
          <w:p w14:paraId="72012D5F" w14:textId="77777777" w:rsidR="00D66351" w:rsidRPr="00943D31" w:rsidRDefault="00D66351" w:rsidP="002663D8">
            <w:pPr>
              <w:spacing w:after="0" w:line="240" w:lineRule="auto"/>
              <w:jc w:val="both"/>
              <w:rPr>
                <w:lang w:val="fr-FR"/>
              </w:rPr>
            </w:pPr>
          </w:p>
          <w:p w14:paraId="32368E72" w14:textId="77777777" w:rsidR="00D66351" w:rsidRPr="00943D31" w:rsidRDefault="00D66351" w:rsidP="002663D8">
            <w:pPr>
              <w:spacing w:after="0" w:line="240" w:lineRule="auto"/>
              <w:jc w:val="both"/>
              <w:rPr>
                <w:lang w:val="fr-FR"/>
              </w:rPr>
            </w:pPr>
            <w:r w:rsidRPr="00943D31">
              <w:rPr>
                <w:lang w:val="fr-FR"/>
              </w:rPr>
              <w:t>Le système dual européen établit une distinction beaucoup plus stricte entre administration et surveillance : la compétence du conseil de surveillance se limite à la surveillance du conseil de direction. Les statuts peuvent toutefois requérir l’autorisation expresse du conseil de surveillance pour un certain nombre d’actes du conseil de direction, comme le prévoit l’article 48, § 1er, du règlement (CE) n° 2157/2001.</w:t>
            </w:r>
          </w:p>
          <w:p w14:paraId="72038BD8" w14:textId="77777777" w:rsidR="00D66351" w:rsidRPr="00943D31" w:rsidRDefault="00D66351" w:rsidP="002663D8">
            <w:pPr>
              <w:spacing w:after="0" w:line="240" w:lineRule="auto"/>
              <w:jc w:val="both"/>
              <w:rPr>
                <w:lang w:val="fr-FR"/>
              </w:rPr>
            </w:pPr>
          </w:p>
          <w:p w14:paraId="0D18D4E8" w14:textId="77777777" w:rsidR="00D66351" w:rsidRPr="00943D31" w:rsidRDefault="00D66351" w:rsidP="002663D8">
            <w:pPr>
              <w:spacing w:after="0" w:line="240" w:lineRule="auto"/>
              <w:jc w:val="both"/>
              <w:rPr>
                <w:lang w:val="fr-FR"/>
              </w:rPr>
            </w:pPr>
            <w:r w:rsidRPr="00943D31">
              <w:rPr>
                <w:lang w:val="fr-FR"/>
              </w:rPr>
              <w:t xml:space="preserve">Le paragraphe 2 confirme que les règles relatives à la représentation des sexes (article </w:t>
            </w:r>
            <w:proofErr w:type="gramStart"/>
            <w:r w:rsidRPr="00943D31">
              <w:rPr>
                <w:lang w:val="fr-FR"/>
              </w:rPr>
              <w:t>7:</w:t>
            </w:r>
            <w:proofErr w:type="gramEnd"/>
            <w:r w:rsidRPr="00943D31">
              <w:rPr>
                <w:lang w:val="fr-FR"/>
              </w:rPr>
              <w:t xml:space="preserve"> 74) et les dispositions relatives aux comités obligatoires dans les sociétés cotées (articles 7:88 et 7:89) s'appliquent uniquement au niveau du conseil de surveill</w:t>
            </w:r>
            <w:r>
              <w:rPr>
                <w:lang w:val="fr-FR"/>
              </w:rPr>
              <w:t>ance.</w:t>
            </w:r>
          </w:p>
        </w:tc>
      </w:tr>
      <w:tr w:rsidR="00D66351" w:rsidRPr="007420C4" w14:paraId="0D9897ED" w14:textId="77777777" w:rsidTr="00CC60D5">
        <w:trPr>
          <w:trHeight w:val="341"/>
        </w:trPr>
        <w:tc>
          <w:tcPr>
            <w:tcW w:w="2122" w:type="dxa"/>
          </w:tcPr>
          <w:p w14:paraId="532DEF74" w14:textId="77777777" w:rsidR="00D66351" w:rsidRPr="00104CB6" w:rsidRDefault="00D66351" w:rsidP="002663D8">
            <w:pPr>
              <w:spacing w:after="0"/>
            </w:pPr>
            <w:proofErr w:type="spellStart"/>
            <w:r>
              <w:lastRenderedPageBreak/>
              <w:t>RvSt</w:t>
            </w:r>
            <w:proofErr w:type="spellEnd"/>
          </w:p>
        </w:tc>
        <w:tc>
          <w:tcPr>
            <w:tcW w:w="5906" w:type="dxa"/>
            <w:shd w:val="clear" w:color="auto" w:fill="auto"/>
          </w:tcPr>
          <w:p w14:paraId="24481C05" w14:textId="77777777" w:rsidR="00D66351" w:rsidRPr="00104CB6" w:rsidRDefault="00D66351" w:rsidP="002663D8">
            <w:pPr>
              <w:spacing w:after="0"/>
            </w:pPr>
            <w:proofErr w:type="spellStart"/>
            <w:r>
              <w:t>Geen</w:t>
            </w:r>
            <w:proofErr w:type="spellEnd"/>
            <w:r>
              <w:t xml:space="preserve"> </w:t>
            </w:r>
            <w:proofErr w:type="spellStart"/>
            <w:r>
              <w:t>opmerkingen</w:t>
            </w:r>
            <w:proofErr w:type="spellEnd"/>
            <w:r>
              <w:t>.</w:t>
            </w:r>
          </w:p>
        </w:tc>
        <w:tc>
          <w:tcPr>
            <w:tcW w:w="5953" w:type="dxa"/>
            <w:gridSpan w:val="2"/>
            <w:shd w:val="clear" w:color="auto" w:fill="auto"/>
          </w:tcPr>
          <w:p w14:paraId="7D67AE59" w14:textId="77777777" w:rsidR="00D66351" w:rsidRPr="00104CB6" w:rsidRDefault="00D66351" w:rsidP="002663D8">
            <w:pPr>
              <w:spacing w:after="0"/>
            </w:pPr>
            <w:r>
              <w:t xml:space="preserve">Pas de </w:t>
            </w:r>
            <w:proofErr w:type="spellStart"/>
            <w:r>
              <w:t>remarques</w:t>
            </w:r>
            <w:proofErr w:type="spellEnd"/>
            <w:r>
              <w:t>.</w:t>
            </w:r>
          </w:p>
        </w:tc>
      </w:tr>
      <w:tr w:rsidR="00D66351" w:rsidRPr="00CC60D5" w14:paraId="5B7CAF95" w14:textId="77777777" w:rsidTr="00CC60D5">
        <w:trPr>
          <w:trHeight w:val="416"/>
        </w:trPr>
        <w:tc>
          <w:tcPr>
            <w:tcW w:w="2122" w:type="dxa"/>
          </w:tcPr>
          <w:p w14:paraId="320921DC" w14:textId="77777777" w:rsidR="00D66351" w:rsidRDefault="00D66351" w:rsidP="002663D8">
            <w:pPr>
              <w:spacing w:after="0"/>
            </w:pPr>
            <w:proofErr w:type="spellStart"/>
            <w:r>
              <w:t>RvSt</w:t>
            </w:r>
            <w:proofErr w:type="spellEnd"/>
            <w:r>
              <w:t xml:space="preserve"> 2</w:t>
            </w:r>
          </w:p>
        </w:tc>
        <w:tc>
          <w:tcPr>
            <w:tcW w:w="5906" w:type="dxa"/>
            <w:shd w:val="clear" w:color="auto" w:fill="auto"/>
          </w:tcPr>
          <w:p w14:paraId="2364C8B2" w14:textId="77777777" w:rsidR="00D66351" w:rsidRPr="00943D31" w:rsidRDefault="00D66351" w:rsidP="002663D8">
            <w:pPr>
              <w:spacing w:after="0" w:line="240" w:lineRule="auto"/>
              <w:jc w:val="both"/>
              <w:rPr>
                <w:lang w:val="nl-BE"/>
              </w:rPr>
            </w:pPr>
            <w:r w:rsidRPr="00943D31">
              <w:rPr>
                <w:lang w:val="nl-BE"/>
              </w:rPr>
              <w:t>1. De verwijzing naar artikel 7:96 in paragraaf 1, eerste lid, is niet duidelijk, aangezien dat artikel, dat gaat over belangenconflicten in een monistisch bestuurssysteem, geen betrekking heeft op de bevoegdheden van de directieraad noch op de bevoegdheden van de raad van toezicht.</w:t>
            </w:r>
          </w:p>
          <w:p w14:paraId="6C740AFC" w14:textId="77777777" w:rsidR="00D66351" w:rsidRPr="00943D31" w:rsidRDefault="00D66351" w:rsidP="002663D8">
            <w:pPr>
              <w:spacing w:after="0" w:line="240" w:lineRule="auto"/>
              <w:jc w:val="both"/>
              <w:rPr>
                <w:lang w:val="nl-BE"/>
              </w:rPr>
            </w:pPr>
            <w:r w:rsidRPr="00943D31">
              <w:rPr>
                <w:lang w:val="nl-BE"/>
              </w:rPr>
              <w:t>Dezelfde opmerking geldt voor het voorgestelde artikel 16:16, § 2.</w:t>
            </w:r>
          </w:p>
          <w:p w14:paraId="3AD659D6" w14:textId="77777777" w:rsidR="00D66351" w:rsidRDefault="00D66351" w:rsidP="002663D8">
            <w:pPr>
              <w:spacing w:after="0" w:line="240" w:lineRule="auto"/>
              <w:jc w:val="both"/>
              <w:rPr>
                <w:lang w:val="nl-BE"/>
              </w:rPr>
            </w:pPr>
          </w:p>
          <w:p w14:paraId="4C413CFC" w14:textId="77777777" w:rsidR="00D66351" w:rsidRPr="00943D31" w:rsidRDefault="00D66351" w:rsidP="002663D8">
            <w:pPr>
              <w:spacing w:after="0" w:line="240" w:lineRule="auto"/>
              <w:jc w:val="both"/>
              <w:rPr>
                <w:lang w:val="nl-BE"/>
              </w:rPr>
            </w:pPr>
            <w:r w:rsidRPr="00943D31">
              <w:rPr>
                <w:lang w:val="nl-BE"/>
              </w:rPr>
              <w:t>2. Paragraaf 2 zou op dezelfde wijze gesteld moeten worden als het ontworpen artikel 7:106.</w:t>
            </w:r>
          </w:p>
        </w:tc>
        <w:tc>
          <w:tcPr>
            <w:tcW w:w="5953" w:type="dxa"/>
            <w:gridSpan w:val="2"/>
            <w:shd w:val="clear" w:color="auto" w:fill="auto"/>
          </w:tcPr>
          <w:p w14:paraId="7DCD6C01" w14:textId="77777777" w:rsidR="00D66351" w:rsidRPr="00943D31" w:rsidRDefault="00D66351" w:rsidP="002663D8">
            <w:pPr>
              <w:spacing w:after="0" w:line="240" w:lineRule="auto"/>
              <w:jc w:val="both"/>
              <w:rPr>
                <w:lang w:val="fr-FR"/>
              </w:rPr>
            </w:pPr>
            <w:r w:rsidRPr="00943D31">
              <w:rPr>
                <w:lang w:val="fr-FR"/>
              </w:rPr>
              <w:t xml:space="preserve">1. Au paragraphe 1er, alinéa 1er, la référence à l’article </w:t>
            </w:r>
            <w:proofErr w:type="gramStart"/>
            <w:r w:rsidRPr="00943D31">
              <w:rPr>
                <w:lang w:val="fr-FR"/>
              </w:rPr>
              <w:t>7:</w:t>
            </w:r>
            <w:proofErr w:type="gramEnd"/>
            <w:r w:rsidRPr="00943D31">
              <w:rPr>
                <w:lang w:val="fr-FR"/>
              </w:rPr>
              <w:t>96 n’est pas claire car cet article, relatif aux conflits d’intérêts dans le système d’administration moniste, ne concerne ni les pouvoirs du conseil de direction ni ceux du conseil de surveillance.</w:t>
            </w:r>
          </w:p>
          <w:p w14:paraId="4CB5681C" w14:textId="77777777" w:rsidR="00D66351" w:rsidRDefault="00D66351" w:rsidP="002663D8">
            <w:pPr>
              <w:spacing w:after="0" w:line="240" w:lineRule="auto"/>
              <w:jc w:val="both"/>
              <w:rPr>
                <w:lang w:val="fr-FR"/>
              </w:rPr>
            </w:pPr>
            <w:r w:rsidRPr="00943D31">
              <w:rPr>
                <w:lang w:val="fr-FR"/>
              </w:rPr>
              <w:t xml:space="preserve">La même observation s’applique à l’article </w:t>
            </w:r>
            <w:proofErr w:type="gramStart"/>
            <w:r w:rsidRPr="00943D31">
              <w:rPr>
                <w:lang w:val="fr-FR"/>
              </w:rPr>
              <w:t>16:</w:t>
            </w:r>
            <w:proofErr w:type="gramEnd"/>
            <w:r w:rsidRPr="00943D31">
              <w:rPr>
                <w:lang w:val="fr-FR"/>
              </w:rPr>
              <w:t>16, § 2, p</w:t>
            </w:r>
            <w:r>
              <w:rPr>
                <w:lang w:val="fr-FR"/>
              </w:rPr>
              <w:t>roposé.</w:t>
            </w:r>
          </w:p>
          <w:p w14:paraId="6667DCDA" w14:textId="77777777" w:rsidR="00D66351" w:rsidRDefault="00D66351" w:rsidP="002663D8">
            <w:pPr>
              <w:spacing w:after="0" w:line="240" w:lineRule="auto"/>
              <w:jc w:val="both"/>
              <w:rPr>
                <w:lang w:val="fr-FR"/>
              </w:rPr>
            </w:pPr>
          </w:p>
          <w:p w14:paraId="39907980" w14:textId="77777777" w:rsidR="00D66351" w:rsidRPr="00943D31" w:rsidRDefault="00D66351" w:rsidP="002663D8">
            <w:pPr>
              <w:spacing w:after="0" w:line="240" w:lineRule="auto"/>
              <w:jc w:val="both"/>
              <w:rPr>
                <w:lang w:val="fr-FR"/>
              </w:rPr>
            </w:pPr>
            <w:r w:rsidRPr="00943D31">
              <w:rPr>
                <w:lang w:val="fr-FR"/>
              </w:rPr>
              <w:t xml:space="preserve">2. Le paragraphe 2 devrait être rédigé de manière identique à l’article </w:t>
            </w:r>
            <w:proofErr w:type="gramStart"/>
            <w:r w:rsidRPr="00943D31">
              <w:rPr>
                <w:lang w:val="fr-FR"/>
              </w:rPr>
              <w:t>7:</w:t>
            </w:r>
            <w:proofErr w:type="gramEnd"/>
            <w:r w:rsidRPr="00943D31">
              <w:rPr>
                <w:lang w:val="fr-FR"/>
              </w:rPr>
              <w:t>106 en projet.</w:t>
            </w:r>
          </w:p>
          <w:p w14:paraId="76920953" w14:textId="77777777" w:rsidR="00D66351" w:rsidRPr="00943D31" w:rsidRDefault="00D66351" w:rsidP="002663D8">
            <w:pPr>
              <w:spacing w:after="0" w:line="240" w:lineRule="auto"/>
              <w:jc w:val="both"/>
              <w:rPr>
                <w:lang w:val="fr-FR"/>
              </w:rPr>
            </w:pPr>
          </w:p>
        </w:tc>
      </w:tr>
      <w:tr w:rsidR="00D66351" w:rsidRPr="00CC60D5" w14:paraId="59E7A853" w14:textId="77777777" w:rsidTr="00CC60D5">
        <w:trPr>
          <w:trHeight w:val="1975"/>
        </w:trPr>
        <w:tc>
          <w:tcPr>
            <w:tcW w:w="2122" w:type="dxa"/>
          </w:tcPr>
          <w:p w14:paraId="5968DFD6" w14:textId="77777777" w:rsidR="00D66351" w:rsidRDefault="00D66351" w:rsidP="008F5FBB">
            <w:pPr>
              <w:pStyle w:val="Kop1"/>
            </w:pPr>
            <w:bookmarkStart w:id="1" w:name="_Amendement_297"/>
            <w:bookmarkStart w:id="2" w:name="_Amendement_297_1"/>
            <w:bookmarkEnd w:id="1"/>
            <w:bookmarkEnd w:id="2"/>
            <w:proofErr w:type="spellStart"/>
            <w:r>
              <w:lastRenderedPageBreak/>
              <w:t>Amendement</w:t>
            </w:r>
            <w:proofErr w:type="spellEnd"/>
            <w:r>
              <w:t xml:space="preserve"> 297</w:t>
            </w:r>
          </w:p>
        </w:tc>
        <w:tc>
          <w:tcPr>
            <w:tcW w:w="5906" w:type="dxa"/>
            <w:shd w:val="clear" w:color="auto" w:fill="auto"/>
          </w:tcPr>
          <w:p w14:paraId="2760067C" w14:textId="77777777" w:rsidR="00D66351" w:rsidRPr="00943D31" w:rsidRDefault="00D66351" w:rsidP="002663D8">
            <w:pPr>
              <w:spacing w:after="0" w:line="240" w:lineRule="auto"/>
              <w:jc w:val="both"/>
              <w:rPr>
                <w:lang w:val="nl-BE"/>
              </w:rPr>
            </w:pPr>
            <w:r w:rsidRPr="00943D31">
              <w:rPr>
                <w:lang w:val="nl-BE"/>
              </w:rPr>
              <w:t>Subamendement op amendement 1</w:t>
            </w:r>
          </w:p>
          <w:p w14:paraId="29E5928C" w14:textId="77777777" w:rsidR="00D66351" w:rsidRPr="00943D31" w:rsidRDefault="00D66351" w:rsidP="002663D8">
            <w:pPr>
              <w:spacing w:after="0" w:line="240" w:lineRule="auto"/>
              <w:jc w:val="both"/>
              <w:rPr>
                <w:lang w:val="nl-BE"/>
              </w:rPr>
            </w:pPr>
            <w:r w:rsidRPr="00943D31">
              <w:rPr>
                <w:lang w:val="nl-BE"/>
              </w:rPr>
              <w:t>Materiële vergissing en verduidelijking</w:t>
            </w:r>
          </w:p>
          <w:p w14:paraId="6733D3FB" w14:textId="77777777" w:rsidR="00D66351" w:rsidRPr="00943D31" w:rsidRDefault="00D66351" w:rsidP="002663D8">
            <w:pPr>
              <w:spacing w:after="0" w:line="240" w:lineRule="auto"/>
              <w:jc w:val="both"/>
              <w:rPr>
                <w:lang w:val="nl-BE"/>
              </w:rPr>
            </w:pPr>
          </w:p>
          <w:p w14:paraId="4A583D31" w14:textId="77777777" w:rsidR="00D66351" w:rsidRPr="00943D31" w:rsidRDefault="00D66351" w:rsidP="002663D8">
            <w:pPr>
              <w:spacing w:after="0" w:line="240" w:lineRule="auto"/>
              <w:jc w:val="both"/>
              <w:rPr>
                <w:lang w:val="nl-BE"/>
              </w:rPr>
            </w:pPr>
            <w:r w:rsidRPr="00943D31">
              <w:rPr>
                <w:lang w:val="nl-BE"/>
              </w:rPr>
              <w:t>In het voorgestelde artikel 15:19, de volgende</w:t>
            </w:r>
            <w:r>
              <w:rPr>
                <w:lang w:val="nl-BE"/>
              </w:rPr>
              <w:t xml:space="preserve"> </w:t>
            </w:r>
            <w:r w:rsidRPr="00943D31">
              <w:rPr>
                <w:lang w:val="nl-BE"/>
              </w:rPr>
              <w:t>wijzigingen aanbrengen:</w:t>
            </w:r>
          </w:p>
          <w:p w14:paraId="3630680E" w14:textId="77777777" w:rsidR="00D66351" w:rsidRPr="00943D31" w:rsidRDefault="00D66351" w:rsidP="002663D8">
            <w:pPr>
              <w:spacing w:after="0" w:line="240" w:lineRule="auto"/>
              <w:jc w:val="both"/>
              <w:rPr>
                <w:lang w:val="nl-BE"/>
              </w:rPr>
            </w:pPr>
          </w:p>
          <w:p w14:paraId="7A14A019" w14:textId="77777777" w:rsidR="00D66351" w:rsidRPr="00943D31" w:rsidRDefault="00D66351" w:rsidP="002663D8">
            <w:pPr>
              <w:spacing w:after="0" w:line="240" w:lineRule="auto"/>
              <w:jc w:val="both"/>
              <w:rPr>
                <w:lang w:val="nl-BE"/>
              </w:rPr>
            </w:pPr>
            <w:r w:rsidRPr="00943D31">
              <w:rPr>
                <w:lang w:val="nl-BE"/>
              </w:rPr>
              <w:t>1° in § 1, eerste lid, de woorden “artikel 7:96” vervangen door de woorden “artikel 7:109”;</w:t>
            </w:r>
          </w:p>
          <w:p w14:paraId="044ED612" w14:textId="77777777" w:rsidR="00D66351" w:rsidRPr="00943D31" w:rsidRDefault="00D66351" w:rsidP="002663D8">
            <w:pPr>
              <w:spacing w:after="0" w:line="240" w:lineRule="auto"/>
              <w:jc w:val="both"/>
              <w:rPr>
                <w:lang w:val="nl-BE"/>
              </w:rPr>
            </w:pPr>
            <w:r w:rsidRPr="00943D31">
              <w:rPr>
                <w:lang w:val="nl-BE"/>
              </w:rPr>
              <w:t>2° in § 2, het woord “overeenkomstige” invoegen</w:t>
            </w:r>
            <w:r>
              <w:rPr>
                <w:lang w:val="nl-BE"/>
              </w:rPr>
              <w:t xml:space="preserve"> </w:t>
            </w:r>
            <w:r w:rsidRPr="00943D31">
              <w:rPr>
                <w:lang w:val="nl-BE"/>
              </w:rPr>
              <w:t>tussen de woorden “zijn van” en de woorden ‘toepassing op”.</w:t>
            </w:r>
          </w:p>
          <w:p w14:paraId="5F773519" w14:textId="77777777" w:rsidR="00D66351" w:rsidRPr="00943D31" w:rsidRDefault="00D66351" w:rsidP="002663D8">
            <w:pPr>
              <w:spacing w:after="0" w:line="240" w:lineRule="auto"/>
              <w:jc w:val="both"/>
              <w:rPr>
                <w:lang w:val="nl-BE"/>
              </w:rPr>
            </w:pPr>
          </w:p>
          <w:p w14:paraId="7B3CE1A3" w14:textId="77777777" w:rsidR="00D66351" w:rsidRDefault="00D66351" w:rsidP="002663D8">
            <w:pPr>
              <w:spacing w:after="0" w:line="240" w:lineRule="auto"/>
              <w:jc w:val="both"/>
              <w:rPr>
                <w:lang w:val="nl-BE"/>
              </w:rPr>
            </w:pPr>
            <w:r w:rsidRPr="00943D31">
              <w:rPr>
                <w:lang w:val="nl-BE"/>
              </w:rPr>
              <w:t>VERANTWOORDING</w:t>
            </w:r>
          </w:p>
          <w:p w14:paraId="69A91715" w14:textId="77777777" w:rsidR="00D66351" w:rsidRPr="00943D31" w:rsidRDefault="00D66351" w:rsidP="002663D8">
            <w:pPr>
              <w:spacing w:after="0" w:line="240" w:lineRule="auto"/>
              <w:jc w:val="both"/>
              <w:rPr>
                <w:lang w:val="nl-BE"/>
              </w:rPr>
            </w:pPr>
          </w:p>
          <w:p w14:paraId="16E77DFD" w14:textId="77777777" w:rsidR="00D66351" w:rsidRPr="00943D31" w:rsidRDefault="00D66351" w:rsidP="002663D8">
            <w:pPr>
              <w:spacing w:after="0" w:line="240" w:lineRule="auto"/>
              <w:jc w:val="both"/>
              <w:rPr>
                <w:lang w:val="nl-BE"/>
              </w:rPr>
            </w:pPr>
            <w:r w:rsidRPr="00943D31">
              <w:rPr>
                <w:lang w:val="nl-BE"/>
              </w:rPr>
              <w:t>Dit amendement corrigeert een materiële vergissing en</w:t>
            </w:r>
            <w:r>
              <w:rPr>
                <w:lang w:val="nl-BE"/>
              </w:rPr>
              <w:t xml:space="preserve"> </w:t>
            </w:r>
            <w:r w:rsidRPr="00943D31">
              <w:rPr>
                <w:lang w:val="nl-BE"/>
              </w:rPr>
              <w:t>brengt een verduidelijking aan.</w:t>
            </w:r>
          </w:p>
        </w:tc>
        <w:tc>
          <w:tcPr>
            <w:tcW w:w="5953" w:type="dxa"/>
            <w:gridSpan w:val="2"/>
            <w:shd w:val="clear" w:color="auto" w:fill="auto"/>
          </w:tcPr>
          <w:p w14:paraId="49D901F7" w14:textId="77777777" w:rsidR="00D66351" w:rsidRPr="00943D31" w:rsidRDefault="00D66351" w:rsidP="002663D8">
            <w:pPr>
              <w:spacing w:after="0" w:line="240" w:lineRule="auto"/>
              <w:jc w:val="both"/>
              <w:rPr>
                <w:lang w:val="fr-FR"/>
              </w:rPr>
            </w:pPr>
            <w:r w:rsidRPr="00943D31">
              <w:rPr>
                <w:lang w:val="fr-FR"/>
              </w:rPr>
              <w:t>Sous-amendement à amendement 1</w:t>
            </w:r>
          </w:p>
          <w:p w14:paraId="252D3D45" w14:textId="77777777" w:rsidR="00D66351" w:rsidRPr="00943D31" w:rsidRDefault="00D66351" w:rsidP="002663D8">
            <w:pPr>
              <w:spacing w:after="0" w:line="240" w:lineRule="auto"/>
              <w:jc w:val="both"/>
              <w:rPr>
                <w:lang w:val="fr-FR"/>
              </w:rPr>
            </w:pPr>
            <w:r w:rsidRPr="00943D31">
              <w:rPr>
                <w:lang w:val="fr-FR"/>
              </w:rPr>
              <w:t>Erreur matérielle et précision</w:t>
            </w:r>
          </w:p>
          <w:p w14:paraId="5394400E" w14:textId="77777777" w:rsidR="00D66351" w:rsidRPr="00943D31" w:rsidRDefault="00D66351" w:rsidP="002663D8">
            <w:pPr>
              <w:spacing w:after="0" w:line="240" w:lineRule="auto"/>
              <w:jc w:val="both"/>
              <w:rPr>
                <w:lang w:val="fr-FR"/>
              </w:rPr>
            </w:pPr>
          </w:p>
          <w:p w14:paraId="796A3791" w14:textId="77777777" w:rsidR="00D66351" w:rsidRPr="00943D31" w:rsidRDefault="00D66351" w:rsidP="002663D8">
            <w:pPr>
              <w:spacing w:after="0" w:line="240" w:lineRule="auto"/>
              <w:jc w:val="both"/>
              <w:rPr>
                <w:lang w:val="fr-FR"/>
              </w:rPr>
            </w:pPr>
            <w:r w:rsidRPr="00943D31">
              <w:rPr>
                <w:lang w:val="fr-FR"/>
              </w:rPr>
              <w:t xml:space="preserve">Dans l’article </w:t>
            </w:r>
            <w:proofErr w:type="gramStart"/>
            <w:r w:rsidRPr="00943D31">
              <w:rPr>
                <w:lang w:val="fr-FR"/>
              </w:rPr>
              <w:t>15:</w:t>
            </w:r>
            <w:proofErr w:type="gramEnd"/>
            <w:r>
              <w:rPr>
                <w:lang w:val="fr-FR"/>
              </w:rPr>
              <w:t>19 proposé, apporter les modifi</w:t>
            </w:r>
            <w:r w:rsidRPr="00943D31">
              <w:rPr>
                <w:lang w:val="fr-FR"/>
              </w:rPr>
              <w:t>cations suivantes:</w:t>
            </w:r>
          </w:p>
          <w:p w14:paraId="7AE2B7BF" w14:textId="77777777" w:rsidR="00D66351" w:rsidRPr="00943D31" w:rsidRDefault="00D66351" w:rsidP="002663D8">
            <w:pPr>
              <w:spacing w:after="0" w:line="240" w:lineRule="auto"/>
              <w:jc w:val="both"/>
              <w:rPr>
                <w:lang w:val="fr-FR"/>
              </w:rPr>
            </w:pPr>
          </w:p>
          <w:p w14:paraId="66B0272D" w14:textId="77777777" w:rsidR="00D66351" w:rsidRPr="00943D31" w:rsidRDefault="00D66351" w:rsidP="002663D8">
            <w:pPr>
              <w:spacing w:after="0" w:line="240" w:lineRule="auto"/>
              <w:jc w:val="both"/>
              <w:rPr>
                <w:lang w:val="fr-FR"/>
              </w:rPr>
            </w:pPr>
            <w:r w:rsidRPr="00943D31">
              <w:rPr>
                <w:lang w:val="fr-FR"/>
              </w:rPr>
              <w:t xml:space="preserve">1° au § 1er, alinéa 1er, remplacer les mots “l’article </w:t>
            </w:r>
            <w:proofErr w:type="gramStart"/>
            <w:r w:rsidRPr="00943D31">
              <w:rPr>
                <w:lang w:val="fr-FR"/>
              </w:rPr>
              <w:t>7:</w:t>
            </w:r>
            <w:proofErr w:type="gramEnd"/>
            <w:r w:rsidRPr="00943D31">
              <w:rPr>
                <w:lang w:val="fr-FR"/>
              </w:rPr>
              <w:t>96”” par les mots “l’article 7:109”;</w:t>
            </w:r>
          </w:p>
          <w:p w14:paraId="0EDBCEE1" w14:textId="77777777" w:rsidR="00D66351" w:rsidRPr="00943D31" w:rsidRDefault="00D66351" w:rsidP="002663D8">
            <w:pPr>
              <w:spacing w:after="0" w:line="240" w:lineRule="auto"/>
              <w:jc w:val="both"/>
              <w:rPr>
                <w:lang w:val="fr-FR"/>
              </w:rPr>
            </w:pPr>
            <w:r w:rsidRPr="00943D31">
              <w:rPr>
                <w:lang w:val="fr-FR"/>
              </w:rPr>
              <w:t>2° au § 2, remplacer les mots “sont applicables” par les mots “s’appliquent par analogie”.</w:t>
            </w:r>
          </w:p>
          <w:p w14:paraId="219C45F0" w14:textId="77777777" w:rsidR="00D66351" w:rsidRPr="00943D31" w:rsidRDefault="00D66351" w:rsidP="002663D8">
            <w:pPr>
              <w:spacing w:after="0" w:line="240" w:lineRule="auto"/>
              <w:jc w:val="both"/>
              <w:rPr>
                <w:lang w:val="fr-FR"/>
              </w:rPr>
            </w:pPr>
          </w:p>
          <w:p w14:paraId="0333C482" w14:textId="77777777" w:rsidR="00D66351" w:rsidRDefault="00D66351" w:rsidP="002663D8">
            <w:pPr>
              <w:spacing w:after="0" w:line="240" w:lineRule="auto"/>
              <w:jc w:val="both"/>
              <w:rPr>
                <w:lang w:val="fr-FR"/>
              </w:rPr>
            </w:pPr>
            <w:r w:rsidRPr="00943D31">
              <w:rPr>
                <w:lang w:val="fr-FR"/>
              </w:rPr>
              <w:t>JUSTIFICATION</w:t>
            </w:r>
          </w:p>
          <w:p w14:paraId="74066B2B" w14:textId="77777777" w:rsidR="00D66351" w:rsidRPr="00943D31" w:rsidRDefault="00D66351" w:rsidP="002663D8">
            <w:pPr>
              <w:spacing w:after="0" w:line="240" w:lineRule="auto"/>
              <w:jc w:val="both"/>
              <w:rPr>
                <w:lang w:val="fr-FR"/>
              </w:rPr>
            </w:pPr>
          </w:p>
          <w:p w14:paraId="354A3674" w14:textId="77777777" w:rsidR="00D66351" w:rsidRPr="00943D31" w:rsidRDefault="00D66351" w:rsidP="002663D8">
            <w:pPr>
              <w:spacing w:after="0" w:line="240" w:lineRule="auto"/>
              <w:jc w:val="both"/>
              <w:rPr>
                <w:lang w:val="fr-FR"/>
              </w:rPr>
            </w:pPr>
            <w:r w:rsidRPr="00943D31">
              <w:rPr>
                <w:lang w:val="fr-FR"/>
              </w:rPr>
              <w:t>Cet amendement a pour objet de corriger une erreur matérielle et d’apporter une précision</w:t>
            </w:r>
          </w:p>
          <w:p w14:paraId="7B17C4D9" w14:textId="77777777" w:rsidR="00D66351" w:rsidRPr="00943D31" w:rsidRDefault="00D66351" w:rsidP="002663D8">
            <w:pPr>
              <w:spacing w:after="0" w:line="240" w:lineRule="auto"/>
              <w:jc w:val="both"/>
              <w:rPr>
                <w:lang w:val="fr-FR"/>
              </w:rPr>
            </w:pPr>
          </w:p>
        </w:tc>
      </w:tr>
      <w:tr w:rsidR="00D66351" w:rsidRPr="00CC60D5" w14:paraId="2BE424E7" w14:textId="77777777" w:rsidTr="00CC60D5">
        <w:trPr>
          <w:trHeight w:val="1792"/>
        </w:trPr>
        <w:tc>
          <w:tcPr>
            <w:tcW w:w="2122" w:type="dxa"/>
          </w:tcPr>
          <w:p w14:paraId="27315CC8" w14:textId="77777777" w:rsidR="00D66351" w:rsidRDefault="00D66351" w:rsidP="008F5FBB">
            <w:pPr>
              <w:pStyle w:val="Kop1"/>
            </w:pPr>
            <w:bookmarkStart w:id="3" w:name="_Amendement_424"/>
            <w:bookmarkStart w:id="4" w:name="_Amendement_424_1"/>
            <w:bookmarkEnd w:id="3"/>
            <w:bookmarkEnd w:id="4"/>
            <w:proofErr w:type="spellStart"/>
            <w:r>
              <w:t>Amendement</w:t>
            </w:r>
            <w:proofErr w:type="spellEnd"/>
            <w:r>
              <w:t xml:space="preserve"> 424</w:t>
            </w:r>
          </w:p>
        </w:tc>
        <w:tc>
          <w:tcPr>
            <w:tcW w:w="5906" w:type="dxa"/>
            <w:shd w:val="clear" w:color="auto" w:fill="auto"/>
          </w:tcPr>
          <w:p w14:paraId="2BC13C53" w14:textId="77777777" w:rsidR="00D66351" w:rsidRPr="00943D31" w:rsidRDefault="00D66351" w:rsidP="002663D8">
            <w:pPr>
              <w:spacing w:after="0" w:line="240" w:lineRule="auto"/>
              <w:jc w:val="both"/>
              <w:rPr>
                <w:lang w:val="nl-BE"/>
              </w:rPr>
            </w:pPr>
            <w:r w:rsidRPr="00943D31">
              <w:rPr>
                <w:lang w:val="nl-BE"/>
              </w:rPr>
              <w:t>In het voorgestelde artikel 15:19, § 2, de woorden “en 7:88” vervangen door de woorden “, 7:88, 7:99 en 7:100”.</w:t>
            </w:r>
          </w:p>
          <w:p w14:paraId="2F34038F" w14:textId="77777777" w:rsidR="00D66351" w:rsidRPr="00943D31" w:rsidRDefault="00D66351" w:rsidP="002663D8">
            <w:pPr>
              <w:spacing w:after="0" w:line="240" w:lineRule="auto"/>
              <w:jc w:val="both"/>
              <w:rPr>
                <w:lang w:val="nl-BE"/>
              </w:rPr>
            </w:pPr>
          </w:p>
          <w:p w14:paraId="797962C2" w14:textId="77777777" w:rsidR="00D66351" w:rsidRPr="00943D31" w:rsidRDefault="00D66351" w:rsidP="002663D8">
            <w:pPr>
              <w:spacing w:after="0" w:line="240" w:lineRule="auto"/>
              <w:jc w:val="both"/>
              <w:rPr>
                <w:lang w:val="nl-BE"/>
              </w:rPr>
            </w:pPr>
            <w:r w:rsidRPr="00943D31">
              <w:rPr>
                <w:lang w:val="nl-BE"/>
              </w:rPr>
              <w:t>VERANTWOORDING</w:t>
            </w:r>
          </w:p>
          <w:p w14:paraId="40CE9633" w14:textId="77777777" w:rsidR="00D66351" w:rsidRPr="00943D31" w:rsidRDefault="00D66351" w:rsidP="002663D8">
            <w:pPr>
              <w:spacing w:after="0" w:line="240" w:lineRule="auto"/>
              <w:jc w:val="both"/>
              <w:rPr>
                <w:lang w:val="nl-BE"/>
              </w:rPr>
            </w:pPr>
          </w:p>
          <w:p w14:paraId="506507C1" w14:textId="77777777" w:rsidR="00D66351" w:rsidRPr="00943D31" w:rsidRDefault="00D66351" w:rsidP="002663D8">
            <w:pPr>
              <w:spacing w:after="0" w:line="240" w:lineRule="auto"/>
              <w:jc w:val="both"/>
              <w:rPr>
                <w:lang w:val="nl-BE"/>
              </w:rPr>
            </w:pPr>
            <w:r w:rsidRPr="00943D31">
              <w:rPr>
                <w:lang w:val="nl-BE"/>
              </w:rPr>
              <w:t>Dit amendement strekt ertoe een materiële fout recht te zetten.</w:t>
            </w:r>
          </w:p>
        </w:tc>
        <w:tc>
          <w:tcPr>
            <w:tcW w:w="5953" w:type="dxa"/>
            <w:gridSpan w:val="2"/>
            <w:shd w:val="clear" w:color="auto" w:fill="auto"/>
          </w:tcPr>
          <w:p w14:paraId="4EE7602A" w14:textId="77777777" w:rsidR="00D66351" w:rsidRPr="00943D31" w:rsidRDefault="00D66351" w:rsidP="002663D8">
            <w:pPr>
              <w:spacing w:after="0" w:line="240" w:lineRule="auto"/>
              <w:jc w:val="both"/>
              <w:rPr>
                <w:lang w:val="fr-FR"/>
              </w:rPr>
            </w:pPr>
            <w:r w:rsidRPr="00943D31">
              <w:rPr>
                <w:lang w:val="fr-FR"/>
              </w:rPr>
              <w:t xml:space="preserve">Dans l’article </w:t>
            </w:r>
            <w:proofErr w:type="gramStart"/>
            <w:r w:rsidRPr="00943D31">
              <w:rPr>
                <w:lang w:val="fr-FR"/>
              </w:rPr>
              <w:t>15:</w:t>
            </w:r>
            <w:proofErr w:type="gramEnd"/>
            <w:r w:rsidRPr="00943D31">
              <w:rPr>
                <w:lang w:val="fr-FR"/>
              </w:rPr>
              <w:t>19, § 2, proposé, remplacer les mots “et 7:88” par les mots “, 7:88, 7:99 et 7:100”.</w:t>
            </w:r>
          </w:p>
          <w:p w14:paraId="1D60F810" w14:textId="77777777" w:rsidR="00D66351" w:rsidRPr="00943D31" w:rsidRDefault="00D66351" w:rsidP="002663D8">
            <w:pPr>
              <w:spacing w:after="0" w:line="240" w:lineRule="auto"/>
              <w:jc w:val="both"/>
              <w:rPr>
                <w:lang w:val="fr-FR"/>
              </w:rPr>
            </w:pPr>
          </w:p>
          <w:p w14:paraId="2C193842" w14:textId="77777777" w:rsidR="00D66351" w:rsidRPr="002663D8" w:rsidRDefault="00D66351" w:rsidP="002663D8">
            <w:pPr>
              <w:spacing w:after="0" w:line="240" w:lineRule="auto"/>
              <w:jc w:val="both"/>
              <w:rPr>
                <w:lang w:val="fr-FR"/>
              </w:rPr>
            </w:pPr>
            <w:r w:rsidRPr="002663D8">
              <w:rPr>
                <w:lang w:val="fr-FR"/>
              </w:rPr>
              <w:t>JUSTIFICATION</w:t>
            </w:r>
          </w:p>
          <w:p w14:paraId="5E900987" w14:textId="77777777" w:rsidR="00D66351" w:rsidRPr="002663D8" w:rsidRDefault="00D66351" w:rsidP="002663D8">
            <w:pPr>
              <w:spacing w:after="0" w:line="240" w:lineRule="auto"/>
              <w:jc w:val="both"/>
              <w:rPr>
                <w:lang w:val="fr-FR"/>
              </w:rPr>
            </w:pPr>
          </w:p>
          <w:p w14:paraId="56CA59CE" w14:textId="77777777" w:rsidR="00D66351" w:rsidRPr="00943D31" w:rsidRDefault="00D66351" w:rsidP="002663D8">
            <w:pPr>
              <w:spacing w:after="0" w:line="240" w:lineRule="auto"/>
              <w:jc w:val="both"/>
              <w:rPr>
                <w:lang w:val="fr-FR"/>
              </w:rPr>
            </w:pPr>
            <w:r w:rsidRPr="00943D31">
              <w:rPr>
                <w:lang w:val="fr-FR"/>
              </w:rPr>
              <w:t>Cet amendement corrige une erreur matérielle.</w:t>
            </w:r>
          </w:p>
        </w:tc>
      </w:tr>
    </w:tbl>
    <w:p w14:paraId="6A688F6D" w14:textId="77777777" w:rsidR="001203BA" w:rsidRPr="0047203B" w:rsidRDefault="001203BA" w:rsidP="001203BA">
      <w:pPr>
        <w:rPr>
          <w:lang w:val="fr-FR"/>
        </w:rPr>
      </w:pPr>
    </w:p>
    <w:p w14:paraId="48533CD0" w14:textId="77777777" w:rsidR="00A820D7" w:rsidRPr="0047203B" w:rsidRDefault="00A820D7">
      <w:pPr>
        <w:rPr>
          <w:lang w:val="fr-FR"/>
        </w:rPr>
      </w:pPr>
    </w:p>
    <w:sectPr w:rsidR="00A820D7" w:rsidRPr="0047203B"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63C94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61D7"/>
    <w:rsid w:val="000174BB"/>
    <w:rsid w:val="0002054A"/>
    <w:rsid w:val="00020B72"/>
    <w:rsid w:val="00021FCB"/>
    <w:rsid w:val="00025BD5"/>
    <w:rsid w:val="00036F85"/>
    <w:rsid w:val="000441DE"/>
    <w:rsid w:val="00071562"/>
    <w:rsid w:val="000B17B4"/>
    <w:rsid w:val="000D6EAF"/>
    <w:rsid w:val="000E14C5"/>
    <w:rsid w:val="000F28E4"/>
    <w:rsid w:val="00102D66"/>
    <w:rsid w:val="00104701"/>
    <w:rsid w:val="00111D98"/>
    <w:rsid w:val="001124BA"/>
    <w:rsid w:val="0011776E"/>
    <w:rsid w:val="001203BA"/>
    <w:rsid w:val="001274D6"/>
    <w:rsid w:val="001346A0"/>
    <w:rsid w:val="00141EB0"/>
    <w:rsid w:val="00142276"/>
    <w:rsid w:val="00145CDB"/>
    <w:rsid w:val="00155DAF"/>
    <w:rsid w:val="001577E9"/>
    <w:rsid w:val="00160A1B"/>
    <w:rsid w:val="00164A72"/>
    <w:rsid w:val="00173563"/>
    <w:rsid w:val="00181A11"/>
    <w:rsid w:val="001849BF"/>
    <w:rsid w:val="00191BAC"/>
    <w:rsid w:val="00193578"/>
    <w:rsid w:val="001A5398"/>
    <w:rsid w:val="001B29CB"/>
    <w:rsid w:val="001C36B7"/>
    <w:rsid w:val="001D27E0"/>
    <w:rsid w:val="001D5AD6"/>
    <w:rsid w:val="0021135B"/>
    <w:rsid w:val="00214ADA"/>
    <w:rsid w:val="00216A35"/>
    <w:rsid w:val="002337A0"/>
    <w:rsid w:val="00251BBF"/>
    <w:rsid w:val="00253930"/>
    <w:rsid w:val="002562D5"/>
    <w:rsid w:val="00262FAA"/>
    <w:rsid w:val="0026584A"/>
    <w:rsid w:val="002663D8"/>
    <w:rsid w:val="00267866"/>
    <w:rsid w:val="00271C8A"/>
    <w:rsid w:val="00274C37"/>
    <w:rsid w:val="00276531"/>
    <w:rsid w:val="00283177"/>
    <w:rsid w:val="002912FD"/>
    <w:rsid w:val="0029665A"/>
    <w:rsid w:val="00297FF6"/>
    <w:rsid w:val="002A12C9"/>
    <w:rsid w:val="002A4557"/>
    <w:rsid w:val="002A5831"/>
    <w:rsid w:val="002B3F2F"/>
    <w:rsid w:val="002C622E"/>
    <w:rsid w:val="002D76A6"/>
    <w:rsid w:val="002E665B"/>
    <w:rsid w:val="002F7950"/>
    <w:rsid w:val="00300B84"/>
    <w:rsid w:val="00302A76"/>
    <w:rsid w:val="00306533"/>
    <w:rsid w:val="00306738"/>
    <w:rsid w:val="003340F4"/>
    <w:rsid w:val="00340C21"/>
    <w:rsid w:val="003564D8"/>
    <w:rsid w:val="00357D30"/>
    <w:rsid w:val="00367502"/>
    <w:rsid w:val="003831C0"/>
    <w:rsid w:val="00392936"/>
    <w:rsid w:val="003A1C6D"/>
    <w:rsid w:val="003A3D34"/>
    <w:rsid w:val="003A7991"/>
    <w:rsid w:val="003B06EB"/>
    <w:rsid w:val="003B15A0"/>
    <w:rsid w:val="003C38B1"/>
    <w:rsid w:val="003D744D"/>
    <w:rsid w:val="003F24EE"/>
    <w:rsid w:val="003F6F60"/>
    <w:rsid w:val="00415C03"/>
    <w:rsid w:val="00423115"/>
    <w:rsid w:val="004334BF"/>
    <w:rsid w:val="00441E30"/>
    <w:rsid w:val="004443F2"/>
    <w:rsid w:val="004637CE"/>
    <w:rsid w:val="0047203B"/>
    <w:rsid w:val="00492278"/>
    <w:rsid w:val="00492FE9"/>
    <w:rsid w:val="004A39E3"/>
    <w:rsid w:val="004C3052"/>
    <w:rsid w:val="004C63AD"/>
    <w:rsid w:val="00502CB1"/>
    <w:rsid w:val="005133BD"/>
    <w:rsid w:val="00513F84"/>
    <w:rsid w:val="00525185"/>
    <w:rsid w:val="00534740"/>
    <w:rsid w:val="005364B4"/>
    <w:rsid w:val="005415E2"/>
    <w:rsid w:val="00552D57"/>
    <w:rsid w:val="00562DB1"/>
    <w:rsid w:val="00585D82"/>
    <w:rsid w:val="00590655"/>
    <w:rsid w:val="005A3C17"/>
    <w:rsid w:val="005A7179"/>
    <w:rsid w:val="005B25E3"/>
    <w:rsid w:val="005B2F3D"/>
    <w:rsid w:val="005C4198"/>
    <w:rsid w:val="005C7CE3"/>
    <w:rsid w:val="005D02C8"/>
    <w:rsid w:val="005D039B"/>
    <w:rsid w:val="005D1201"/>
    <w:rsid w:val="005E7872"/>
    <w:rsid w:val="006132F3"/>
    <w:rsid w:val="00621861"/>
    <w:rsid w:val="00631F09"/>
    <w:rsid w:val="0063632B"/>
    <w:rsid w:val="0064095E"/>
    <w:rsid w:val="00645D75"/>
    <w:rsid w:val="00650083"/>
    <w:rsid w:val="00651E0F"/>
    <w:rsid w:val="00657805"/>
    <w:rsid w:val="0066155A"/>
    <w:rsid w:val="0066738E"/>
    <w:rsid w:val="0068143A"/>
    <w:rsid w:val="00686C06"/>
    <w:rsid w:val="006920C9"/>
    <w:rsid w:val="006A735D"/>
    <w:rsid w:val="006B2AA7"/>
    <w:rsid w:val="006C529C"/>
    <w:rsid w:val="006D501B"/>
    <w:rsid w:val="0070142C"/>
    <w:rsid w:val="00706549"/>
    <w:rsid w:val="00710A28"/>
    <w:rsid w:val="00710C81"/>
    <w:rsid w:val="00733FA9"/>
    <w:rsid w:val="00736D86"/>
    <w:rsid w:val="00741F2C"/>
    <w:rsid w:val="00741F55"/>
    <w:rsid w:val="007420C4"/>
    <w:rsid w:val="007463B2"/>
    <w:rsid w:val="007524C0"/>
    <w:rsid w:val="007532BF"/>
    <w:rsid w:val="00792C53"/>
    <w:rsid w:val="007B17CA"/>
    <w:rsid w:val="007B581C"/>
    <w:rsid w:val="007D7A6B"/>
    <w:rsid w:val="00800A45"/>
    <w:rsid w:val="00800EA8"/>
    <w:rsid w:val="008059B6"/>
    <w:rsid w:val="00817408"/>
    <w:rsid w:val="00817848"/>
    <w:rsid w:val="00833A2D"/>
    <w:rsid w:val="008423F9"/>
    <w:rsid w:val="00842D8E"/>
    <w:rsid w:val="00853C03"/>
    <w:rsid w:val="00863AF1"/>
    <w:rsid w:val="00871F22"/>
    <w:rsid w:val="00887B0C"/>
    <w:rsid w:val="008A17D9"/>
    <w:rsid w:val="008B2189"/>
    <w:rsid w:val="008D71F7"/>
    <w:rsid w:val="008E164C"/>
    <w:rsid w:val="008E7328"/>
    <w:rsid w:val="008F5FBB"/>
    <w:rsid w:val="00905B7A"/>
    <w:rsid w:val="00913896"/>
    <w:rsid w:val="00913FE2"/>
    <w:rsid w:val="00916E5F"/>
    <w:rsid w:val="009172D4"/>
    <w:rsid w:val="0093030C"/>
    <w:rsid w:val="00931894"/>
    <w:rsid w:val="00935E60"/>
    <w:rsid w:val="00943313"/>
    <w:rsid w:val="00943D31"/>
    <w:rsid w:val="009460AE"/>
    <w:rsid w:val="009627E9"/>
    <w:rsid w:val="0096303B"/>
    <w:rsid w:val="0098698D"/>
    <w:rsid w:val="009A4260"/>
    <w:rsid w:val="009B3BE6"/>
    <w:rsid w:val="009C0DC9"/>
    <w:rsid w:val="009D0B3E"/>
    <w:rsid w:val="009F648C"/>
    <w:rsid w:val="009F7906"/>
    <w:rsid w:val="00A0074A"/>
    <w:rsid w:val="00A01EFB"/>
    <w:rsid w:val="00A14C1E"/>
    <w:rsid w:val="00A152BE"/>
    <w:rsid w:val="00A72BBC"/>
    <w:rsid w:val="00A7675D"/>
    <w:rsid w:val="00A820D7"/>
    <w:rsid w:val="00A87F77"/>
    <w:rsid w:val="00A944DA"/>
    <w:rsid w:val="00AA0CC7"/>
    <w:rsid w:val="00AA1A7C"/>
    <w:rsid w:val="00AA3BE5"/>
    <w:rsid w:val="00AA5A92"/>
    <w:rsid w:val="00AC1B18"/>
    <w:rsid w:val="00AC1E91"/>
    <w:rsid w:val="00AC2D5F"/>
    <w:rsid w:val="00AC6281"/>
    <w:rsid w:val="00AC6758"/>
    <w:rsid w:val="00AD4244"/>
    <w:rsid w:val="00AE0088"/>
    <w:rsid w:val="00AF6451"/>
    <w:rsid w:val="00B03864"/>
    <w:rsid w:val="00B14FC3"/>
    <w:rsid w:val="00B15F17"/>
    <w:rsid w:val="00B41CE6"/>
    <w:rsid w:val="00B43558"/>
    <w:rsid w:val="00B44890"/>
    <w:rsid w:val="00B50606"/>
    <w:rsid w:val="00B61E27"/>
    <w:rsid w:val="00B6333A"/>
    <w:rsid w:val="00B779CF"/>
    <w:rsid w:val="00B9723E"/>
    <w:rsid w:val="00B97CC3"/>
    <w:rsid w:val="00BA0E76"/>
    <w:rsid w:val="00BA1659"/>
    <w:rsid w:val="00BA26D2"/>
    <w:rsid w:val="00BB376A"/>
    <w:rsid w:val="00BD2DC6"/>
    <w:rsid w:val="00BE2349"/>
    <w:rsid w:val="00BF1861"/>
    <w:rsid w:val="00C01CC2"/>
    <w:rsid w:val="00C01CFA"/>
    <w:rsid w:val="00C12A40"/>
    <w:rsid w:val="00C162B3"/>
    <w:rsid w:val="00C166D1"/>
    <w:rsid w:val="00C1753D"/>
    <w:rsid w:val="00C4014C"/>
    <w:rsid w:val="00C47A8C"/>
    <w:rsid w:val="00C80883"/>
    <w:rsid w:val="00C80921"/>
    <w:rsid w:val="00C86467"/>
    <w:rsid w:val="00C86CC5"/>
    <w:rsid w:val="00C91A38"/>
    <w:rsid w:val="00CA1557"/>
    <w:rsid w:val="00CA5454"/>
    <w:rsid w:val="00CB08CB"/>
    <w:rsid w:val="00CB210A"/>
    <w:rsid w:val="00CC60D5"/>
    <w:rsid w:val="00CC6422"/>
    <w:rsid w:val="00D22227"/>
    <w:rsid w:val="00D42D9B"/>
    <w:rsid w:val="00D46773"/>
    <w:rsid w:val="00D66351"/>
    <w:rsid w:val="00D66D82"/>
    <w:rsid w:val="00D73EC0"/>
    <w:rsid w:val="00D751E3"/>
    <w:rsid w:val="00D8405B"/>
    <w:rsid w:val="00D931FB"/>
    <w:rsid w:val="00D96002"/>
    <w:rsid w:val="00DA0AF3"/>
    <w:rsid w:val="00DB5C97"/>
    <w:rsid w:val="00DE1FCC"/>
    <w:rsid w:val="00E15370"/>
    <w:rsid w:val="00E15CFE"/>
    <w:rsid w:val="00E21F8D"/>
    <w:rsid w:val="00E26DE4"/>
    <w:rsid w:val="00E511E0"/>
    <w:rsid w:val="00E53C0F"/>
    <w:rsid w:val="00E719D5"/>
    <w:rsid w:val="00E72BF6"/>
    <w:rsid w:val="00E94056"/>
    <w:rsid w:val="00EA3D66"/>
    <w:rsid w:val="00EA7FDC"/>
    <w:rsid w:val="00EB2EF1"/>
    <w:rsid w:val="00EB4929"/>
    <w:rsid w:val="00EC77EF"/>
    <w:rsid w:val="00ED31D7"/>
    <w:rsid w:val="00ED3B78"/>
    <w:rsid w:val="00ED6CD0"/>
    <w:rsid w:val="00EE17D3"/>
    <w:rsid w:val="00EE44AC"/>
    <w:rsid w:val="00F03C83"/>
    <w:rsid w:val="00F134E0"/>
    <w:rsid w:val="00F20FCB"/>
    <w:rsid w:val="00F234EA"/>
    <w:rsid w:val="00F26581"/>
    <w:rsid w:val="00F301AA"/>
    <w:rsid w:val="00F31712"/>
    <w:rsid w:val="00F31AEF"/>
    <w:rsid w:val="00F343DF"/>
    <w:rsid w:val="00F54E2C"/>
    <w:rsid w:val="00F61965"/>
    <w:rsid w:val="00F63D28"/>
    <w:rsid w:val="00F67171"/>
    <w:rsid w:val="00F74E3F"/>
    <w:rsid w:val="00F9299A"/>
    <w:rsid w:val="00FD0CAE"/>
    <w:rsid w:val="00FF3C0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C35FB"/>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8F5FBB"/>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customStyle="1" w:styleId="Afdeling">
    <w:name w:val="Afdeling"/>
    <w:basedOn w:val="Kop1"/>
    <w:rsid w:val="00D751E3"/>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8F5FBB"/>
    <w:rPr>
      <w:rFonts w:eastAsiaTheme="majorEastAsia" w:cstheme="majorBidi"/>
      <w:color w:val="000000" w:themeColor="text1"/>
      <w:szCs w:val="32"/>
    </w:rPr>
  </w:style>
  <w:style w:type="character" w:styleId="Hyperlink">
    <w:name w:val="Hyperlink"/>
    <w:basedOn w:val="Standaardalinea-lettertype"/>
    <w:uiPriority w:val="99"/>
    <w:unhideWhenUsed/>
    <w:rsid w:val="008F5FBB"/>
    <w:rPr>
      <w:color w:val="0563C1" w:themeColor="hyperlink"/>
      <w:u w:val="single"/>
    </w:rPr>
  </w:style>
  <w:style w:type="character" w:styleId="GevolgdeHyperlink">
    <w:name w:val="FollowedHyperlink"/>
    <w:basedOn w:val="Standaardalinea-lettertype"/>
    <w:uiPriority w:val="99"/>
    <w:semiHidden/>
    <w:unhideWhenUsed/>
    <w:rsid w:val="008F5F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915</Words>
  <Characters>5037</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cp:revision>
  <dcterms:created xsi:type="dcterms:W3CDTF">2019-11-08T10:05:00Z</dcterms:created>
  <dcterms:modified xsi:type="dcterms:W3CDTF">2022-02-07T13:35:00Z</dcterms:modified>
</cp:coreProperties>
</file>