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9460AE" w14:paraId="53B54576" w14:textId="77777777" w:rsidTr="00FD17FF">
        <w:tc>
          <w:tcPr>
            <w:tcW w:w="2122" w:type="dxa"/>
          </w:tcPr>
          <w:p w14:paraId="35E3B24F" w14:textId="77777777" w:rsidR="001203BA" w:rsidRPr="00B07AC9" w:rsidRDefault="00B03864" w:rsidP="00B76E00">
            <w:pPr>
              <w:rPr>
                <w:b/>
                <w:sz w:val="32"/>
                <w:szCs w:val="32"/>
                <w:lang w:val="nl-BE"/>
              </w:rPr>
            </w:pPr>
            <w:r>
              <w:rPr>
                <w:b/>
                <w:sz w:val="32"/>
                <w:szCs w:val="32"/>
                <w:lang w:val="nl-BE"/>
              </w:rPr>
              <w:t>ARTIKEL 15:2</w:t>
            </w:r>
          </w:p>
        </w:tc>
        <w:tc>
          <w:tcPr>
            <w:tcW w:w="11623" w:type="dxa"/>
            <w:gridSpan w:val="2"/>
            <w:shd w:val="clear" w:color="auto" w:fill="auto"/>
          </w:tcPr>
          <w:p w14:paraId="7B3C4F25" w14:textId="77777777" w:rsidR="001B29CB" w:rsidRPr="001A5398" w:rsidRDefault="001B29CB" w:rsidP="00B76E00">
            <w:pPr>
              <w:jc w:val="center"/>
              <w:rPr>
                <w:b/>
                <w:sz w:val="32"/>
                <w:szCs w:val="32"/>
                <w:lang w:val="nl-BE"/>
              </w:rPr>
            </w:pPr>
          </w:p>
        </w:tc>
      </w:tr>
      <w:tr w:rsidR="001203BA" w:rsidRPr="00441E30" w14:paraId="7854B334" w14:textId="77777777" w:rsidTr="00FD17FF">
        <w:tc>
          <w:tcPr>
            <w:tcW w:w="2122" w:type="dxa"/>
          </w:tcPr>
          <w:p w14:paraId="6C36A5FE" w14:textId="77777777" w:rsidR="001203BA" w:rsidRPr="00B07AC9" w:rsidRDefault="001203BA" w:rsidP="00B76E00">
            <w:pPr>
              <w:rPr>
                <w:b/>
                <w:sz w:val="32"/>
                <w:szCs w:val="32"/>
                <w:lang w:val="nl-BE"/>
              </w:rPr>
            </w:pPr>
          </w:p>
        </w:tc>
        <w:tc>
          <w:tcPr>
            <w:tcW w:w="11623" w:type="dxa"/>
            <w:gridSpan w:val="2"/>
            <w:shd w:val="clear" w:color="auto" w:fill="auto"/>
          </w:tcPr>
          <w:p w14:paraId="078AF138" w14:textId="77777777" w:rsidR="001203BA" w:rsidRPr="007B17CA" w:rsidRDefault="001203BA" w:rsidP="00B76E00">
            <w:pPr>
              <w:jc w:val="center"/>
              <w:rPr>
                <w:rFonts w:ascii="Cambria" w:eastAsia="Calibri" w:hAnsi="Cambria" w:cs="Times New Roman"/>
                <w:b/>
                <w:bCs/>
                <w:color w:val="4F81BD"/>
                <w:sz w:val="32"/>
                <w:szCs w:val="26"/>
                <w:lang w:val="nl-NL" w:eastAsia="fr-FR"/>
              </w:rPr>
            </w:pPr>
          </w:p>
        </w:tc>
      </w:tr>
      <w:tr w:rsidR="00B03864" w:rsidRPr="00F461A9" w14:paraId="2ABB5BEA" w14:textId="77777777" w:rsidTr="00FD17FF">
        <w:trPr>
          <w:trHeight w:val="1937"/>
        </w:trPr>
        <w:tc>
          <w:tcPr>
            <w:tcW w:w="2122" w:type="dxa"/>
          </w:tcPr>
          <w:p w14:paraId="646BC521" w14:textId="77777777" w:rsidR="00B03864" w:rsidRDefault="00B03864" w:rsidP="00B76E00">
            <w:pPr>
              <w:spacing w:after="0" w:line="240" w:lineRule="auto"/>
              <w:rPr>
                <w:rFonts w:cs="Calibri"/>
                <w:lang w:val="nl-BE"/>
              </w:rPr>
            </w:pPr>
            <w:r>
              <w:rPr>
                <w:rFonts w:cs="Calibri"/>
                <w:lang w:val="nl-BE"/>
              </w:rPr>
              <w:t>WVV</w:t>
            </w:r>
          </w:p>
        </w:tc>
        <w:tc>
          <w:tcPr>
            <w:tcW w:w="5670" w:type="dxa"/>
            <w:shd w:val="clear" w:color="auto" w:fill="auto"/>
          </w:tcPr>
          <w:p w14:paraId="15766AEB" w14:textId="77777777" w:rsidR="00B03864" w:rsidRDefault="00B03864" w:rsidP="00B76E00">
            <w:pPr>
              <w:spacing w:after="0" w:line="240" w:lineRule="auto"/>
              <w:jc w:val="both"/>
              <w:rPr>
                <w:rFonts w:cs="Calibri"/>
                <w:lang w:val="nl-BE"/>
              </w:rPr>
            </w:pPr>
            <w:r w:rsidRPr="00B13595">
              <w:rPr>
                <w:rFonts w:cs="Calibri"/>
                <w:lang w:val="nl-BE"/>
              </w:rPr>
              <w:t>De Europese vennootschap wordt beheerst door verordening (EG) nr. 2157/2001.</w:t>
            </w:r>
          </w:p>
          <w:p w14:paraId="7AF06A5F" w14:textId="77777777" w:rsidR="00B03864" w:rsidRDefault="00B03864" w:rsidP="00B76E00">
            <w:pPr>
              <w:spacing w:after="0" w:line="240" w:lineRule="auto"/>
              <w:jc w:val="both"/>
              <w:rPr>
                <w:rFonts w:cs="Calibri"/>
                <w:lang w:val="nl-BE"/>
              </w:rPr>
            </w:pPr>
          </w:p>
          <w:p w14:paraId="742DB6C5" w14:textId="77777777" w:rsidR="00B03864" w:rsidRPr="00B73889" w:rsidRDefault="00B03864" w:rsidP="00B76E00">
            <w:pPr>
              <w:spacing w:after="0" w:line="240" w:lineRule="auto"/>
              <w:jc w:val="both"/>
              <w:rPr>
                <w:rFonts w:cs="Calibri"/>
                <w:lang w:val="nl-BE"/>
              </w:rPr>
            </w:pPr>
            <w:r w:rsidRPr="00B13595">
              <w:rPr>
                <w:rFonts w:cs="Calibri"/>
                <w:bCs/>
                <w:iCs/>
                <w:lang w:val="nl-BE"/>
              </w:rPr>
              <w:t>Voor de aangelegenheden die niet bij verordening (EG) nr. 2157/2001 zijn geregeld, zijn de</w:t>
            </w:r>
            <w:r w:rsidRPr="00B13595">
              <w:rPr>
                <w:rFonts w:cs="Calibri"/>
                <w:lang w:val="nl-BE"/>
              </w:rPr>
              <w:t xml:space="preserve"> bepalingen van Boek 7 van toepassing, tenzij in zoverre er in dit boek van wordt afgeweken</w:t>
            </w:r>
            <w:r>
              <w:rPr>
                <w:rFonts w:cs="Calibri"/>
                <w:lang w:val="nl-BE"/>
              </w:rPr>
              <w:t>.</w:t>
            </w:r>
          </w:p>
        </w:tc>
        <w:tc>
          <w:tcPr>
            <w:tcW w:w="5953" w:type="dxa"/>
            <w:shd w:val="clear" w:color="auto" w:fill="auto"/>
          </w:tcPr>
          <w:p w14:paraId="18C991F0" w14:textId="77777777" w:rsidR="00B03864" w:rsidRDefault="00B03864" w:rsidP="00B76E00">
            <w:pPr>
              <w:spacing w:after="0" w:line="240" w:lineRule="auto"/>
              <w:jc w:val="both"/>
              <w:rPr>
                <w:rFonts w:cs="Calibri"/>
                <w:lang w:val="fr-FR"/>
              </w:rPr>
            </w:pPr>
            <w:r w:rsidRPr="00B13595">
              <w:rPr>
                <w:rFonts w:cs="Calibri"/>
                <w:lang w:val="fr-FR"/>
              </w:rPr>
              <w:t>La société européenne est régie par le règlement (CE) n° 2157/2001</w:t>
            </w:r>
            <w:r>
              <w:rPr>
                <w:rFonts w:cs="Calibri"/>
                <w:lang w:val="fr-FR"/>
              </w:rPr>
              <w:t>.</w:t>
            </w:r>
          </w:p>
          <w:p w14:paraId="07F06D19" w14:textId="77777777" w:rsidR="00B03864" w:rsidRDefault="00B03864" w:rsidP="00B76E00">
            <w:pPr>
              <w:spacing w:after="0" w:line="240" w:lineRule="auto"/>
              <w:jc w:val="both"/>
              <w:rPr>
                <w:rFonts w:cs="Calibri"/>
                <w:lang w:val="fr-FR"/>
              </w:rPr>
            </w:pPr>
          </w:p>
          <w:p w14:paraId="2D960172" w14:textId="77777777" w:rsidR="00B03864" w:rsidRDefault="00B03864" w:rsidP="00B76E00">
            <w:pPr>
              <w:spacing w:after="0" w:line="240" w:lineRule="auto"/>
              <w:jc w:val="both"/>
              <w:rPr>
                <w:rFonts w:cs="Calibri"/>
                <w:bCs/>
                <w:lang w:val="fr-BE"/>
              </w:rPr>
            </w:pPr>
            <w:r w:rsidRPr="00B13595">
              <w:rPr>
                <w:rFonts w:cs="Calibri"/>
                <w:lang w:val="fr-FR"/>
              </w:rPr>
              <w:t>Pour les matières non réglées par le règlement (CE) n° 2157/2001, l</w:t>
            </w:r>
            <w:r w:rsidRPr="00B13595">
              <w:rPr>
                <w:rFonts w:cs="Calibri"/>
                <w:bCs/>
                <w:lang w:val="fr-BE"/>
              </w:rPr>
              <w:t xml:space="preserve">es dispositions du Livre 7 sont applicables, sauf dans la mesure où </w:t>
            </w:r>
            <w:r w:rsidRPr="00B13595">
              <w:rPr>
                <w:rFonts w:cs="Calibri"/>
                <w:bCs/>
                <w:lang w:val="fr-FR"/>
              </w:rPr>
              <w:t xml:space="preserve">il </w:t>
            </w:r>
            <w:r w:rsidRPr="00B13595">
              <w:rPr>
                <w:rFonts w:cs="Calibri"/>
                <w:bCs/>
                <w:lang w:val="fr-BE"/>
              </w:rPr>
              <w:t>y est dérogé par le présent livre</w:t>
            </w:r>
            <w:r>
              <w:rPr>
                <w:rFonts w:cs="Calibri"/>
                <w:bCs/>
                <w:lang w:val="fr-BE"/>
              </w:rPr>
              <w:t>.</w:t>
            </w:r>
          </w:p>
          <w:p w14:paraId="6EC23014" w14:textId="77777777" w:rsidR="00B03864" w:rsidRPr="00BE221B" w:rsidRDefault="00B03864" w:rsidP="00B76E00">
            <w:pPr>
              <w:spacing w:after="0" w:line="240" w:lineRule="auto"/>
              <w:jc w:val="both"/>
              <w:rPr>
                <w:rFonts w:cs="Calibri"/>
                <w:lang w:val="fr-BE"/>
              </w:rPr>
            </w:pPr>
          </w:p>
        </w:tc>
      </w:tr>
      <w:tr w:rsidR="00F461A9" w:rsidRPr="00F461A9" w14:paraId="1CD66482" w14:textId="77777777" w:rsidTr="00F461A9">
        <w:trPr>
          <w:trHeight w:val="409"/>
        </w:trPr>
        <w:tc>
          <w:tcPr>
            <w:tcW w:w="2122" w:type="dxa"/>
          </w:tcPr>
          <w:p w14:paraId="70C1E22B" w14:textId="77777777" w:rsidR="00F461A9" w:rsidRDefault="00F461A9" w:rsidP="00E9206C">
            <w:pPr>
              <w:spacing w:after="0" w:line="240" w:lineRule="auto"/>
              <w:rPr>
                <w:rFonts w:cs="Calibri"/>
                <w:lang w:val="fr-FR"/>
              </w:rPr>
            </w:pPr>
            <w:proofErr w:type="spellStart"/>
            <w:r>
              <w:rPr>
                <w:rFonts w:cs="Calibri"/>
                <w:lang w:val="fr-FR"/>
              </w:rPr>
              <w:t>Ontwerp</w:t>
            </w:r>
            <w:proofErr w:type="spellEnd"/>
          </w:p>
        </w:tc>
        <w:tc>
          <w:tcPr>
            <w:tcW w:w="5670" w:type="dxa"/>
            <w:shd w:val="clear" w:color="auto" w:fill="auto"/>
          </w:tcPr>
          <w:p w14:paraId="590E745F" w14:textId="77777777" w:rsidR="00F461A9" w:rsidRDefault="00F461A9" w:rsidP="00E9206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1A9337F5" w14:textId="77777777" w:rsidR="00F461A9" w:rsidRPr="00B13595" w:rsidRDefault="00F461A9" w:rsidP="00E9206C">
            <w:pPr>
              <w:spacing w:after="0" w:line="240" w:lineRule="auto"/>
              <w:jc w:val="both"/>
              <w:rPr>
                <w:rFonts w:cs="Calibri"/>
                <w:lang w:val="fr-FR"/>
              </w:rPr>
            </w:pPr>
            <w:r>
              <w:rPr>
                <w:rFonts w:cs="Calibri"/>
                <w:lang w:val="fr-FR"/>
              </w:rPr>
              <w:t>Pas d’article.</w:t>
            </w:r>
          </w:p>
        </w:tc>
      </w:tr>
      <w:tr w:rsidR="00F461A9" w:rsidRPr="000B098F" w14:paraId="0CE6B553" w14:textId="77777777" w:rsidTr="00FD17FF">
        <w:trPr>
          <w:trHeight w:val="405"/>
        </w:trPr>
        <w:tc>
          <w:tcPr>
            <w:tcW w:w="2122" w:type="dxa"/>
          </w:tcPr>
          <w:p w14:paraId="67DA9309" w14:textId="77777777" w:rsidR="00F461A9" w:rsidRPr="009B24B6" w:rsidRDefault="00F461A9" w:rsidP="00B76E00">
            <w:pPr>
              <w:spacing w:after="0"/>
            </w:pPr>
            <w:proofErr w:type="spellStart"/>
            <w:r>
              <w:t>Vooro</w:t>
            </w:r>
            <w:r w:rsidRPr="009B24B6">
              <w:t>ntwerp</w:t>
            </w:r>
            <w:proofErr w:type="spellEnd"/>
          </w:p>
        </w:tc>
        <w:tc>
          <w:tcPr>
            <w:tcW w:w="5670" w:type="dxa"/>
            <w:shd w:val="clear" w:color="auto" w:fill="auto"/>
          </w:tcPr>
          <w:p w14:paraId="4747A8DF" w14:textId="77777777" w:rsidR="00F461A9" w:rsidRPr="009B24B6" w:rsidRDefault="00F461A9" w:rsidP="00B76E00">
            <w:pPr>
              <w:spacing w:after="0"/>
            </w:pPr>
            <w:proofErr w:type="spellStart"/>
            <w:r w:rsidRPr="009B24B6">
              <w:t>Geen</w:t>
            </w:r>
            <w:proofErr w:type="spellEnd"/>
            <w:r w:rsidRPr="009B24B6">
              <w:t xml:space="preserve"> </w:t>
            </w:r>
            <w:proofErr w:type="spellStart"/>
            <w:r w:rsidRPr="009B24B6">
              <w:t>artikel</w:t>
            </w:r>
            <w:proofErr w:type="spellEnd"/>
            <w:r>
              <w:t>.</w:t>
            </w:r>
          </w:p>
        </w:tc>
        <w:tc>
          <w:tcPr>
            <w:tcW w:w="5953" w:type="dxa"/>
            <w:shd w:val="clear" w:color="auto" w:fill="auto"/>
          </w:tcPr>
          <w:p w14:paraId="23263C5E" w14:textId="77777777" w:rsidR="00F461A9" w:rsidRDefault="00F461A9" w:rsidP="00B76E00">
            <w:pPr>
              <w:spacing w:after="0"/>
            </w:pPr>
            <w:r w:rsidRPr="009B24B6">
              <w:t xml:space="preserve">Pas </w:t>
            </w:r>
            <w:proofErr w:type="spellStart"/>
            <w:r w:rsidRPr="009B24B6">
              <w:t>d’article</w:t>
            </w:r>
            <w:proofErr w:type="spellEnd"/>
            <w:r>
              <w:t>.</w:t>
            </w:r>
          </w:p>
        </w:tc>
      </w:tr>
      <w:tr w:rsidR="00F461A9" w:rsidRPr="00B76E00" w14:paraId="668BB368" w14:textId="77777777" w:rsidTr="00FD17FF">
        <w:trPr>
          <w:trHeight w:val="469"/>
        </w:trPr>
        <w:tc>
          <w:tcPr>
            <w:tcW w:w="2122" w:type="dxa"/>
          </w:tcPr>
          <w:p w14:paraId="09C6D618" w14:textId="77777777" w:rsidR="00F461A9" w:rsidRDefault="00F461A9" w:rsidP="00B76E00">
            <w:pPr>
              <w:spacing w:after="0" w:line="240" w:lineRule="auto"/>
              <w:rPr>
                <w:rFonts w:cs="Calibri"/>
                <w:lang w:val="fr-FR"/>
              </w:rPr>
            </w:pPr>
            <w:bookmarkStart w:id="0" w:name="_GoBack"/>
            <w:bookmarkEnd w:id="0"/>
            <w:proofErr w:type="spellStart"/>
            <w:r>
              <w:rPr>
                <w:rFonts w:cs="Calibri"/>
                <w:lang w:val="fr-FR"/>
              </w:rPr>
              <w:t>MvT</w:t>
            </w:r>
            <w:proofErr w:type="spellEnd"/>
          </w:p>
        </w:tc>
        <w:tc>
          <w:tcPr>
            <w:tcW w:w="5670" w:type="dxa"/>
            <w:shd w:val="clear" w:color="auto" w:fill="auto"/>
          </w:tcPr>
          <w:p w14:paraId="2C101F40" w14:textId="77777777" w:rsidR="00F461A9" w:rsidRPr="00FD17FF" w:rsidRDefault="00F461A9" w:rsidP="00B76E00">
            <w:pPr>
              <w:spacing w:after="0" w:line="240" w:lineRule="auto"/>
              <w:jc w:val="both"/>
              <w:rPr>
                <w:rFonts w:cs="Calibri"/>
                <w:u w:val="single"/>
                <w:lang w:val="nl-BE"/>
              </w:rPr>
            </w:pPr>
            <w:r w:rsidRPr="00B13595">
              <w:rPr>
                <w:rFonts w:cs="Calibri"/>
                <w:lang w:val="nl-BE"/>
              </w:rPr>
              <w:t>Dit artikel verduidelijkt dat verordening (EG) nr. 2157/2001 toepasselijk is, en slechts in tweede orde boek 7 (bepalingen inzake de NV)</w:t>
            </w:r>
            <w:r>
              <w:rPr>
                <w:rFonts w:cs="Calibri"/>
                <w:lang w:val="nl-BE"/>
              </w:rPr>
              <w:t>.</w:t>
            </w:r>
          </w:p>
        </w:tc>
        <w:tc>
          <w:tcPr>
            <w:tcW w:w="5953" w:type="dxa"/>
            <w:shd w:val="clear" w:color="auto" w:fill="auto"/>
          </w:tcPr>
          <w:p w14:paraId="018BAD80" w14:textId="77777777" w:rsidR="00F461A9" w:rsidRPr="00517633" w:rsidRDefault="00F461A9" w:rsidP="00B76E00">
            <w:pPr>
              <w:spacing w:after="0" w:line="240" w:lineRule="auto"/>
              <w:jc w:val="both"/>
              <w:rPr>
                <w:rFonts w:cs="Calibri"/>
                <w:u w:val="single"/>
                <w:lang w:val="fr-FR"/>
              </w:rPr>
            </w:pPr>
            <w:r w:rsidRPr="00B13595">
              <w:rPr>
                <w:rFonts w:cs="Calibri"/>
                <w:lang w:val="fr-FR"/>
              </w:rPr>
              <w:t>Cet article précise que le règlement (CE) n° 2157/2001 est applicable et, en second lieu seulement, le livre 7 (dispositions relatives à la SA</w:t>
            </w:r>
            <w:r>
              <w:rPr>
                <w:rFonts w:cs="Calibri"/>
                <w:lang w:val="fr-FR"/>
              </w:rPr>
              <w:t>).</w:t>
            </w:r>
          </w:p>
        </w:tc>
      </w:tr>
      <w:tr w:rsidR="00F461A9" w:rsidRPr="00517633" w14:paraId="2782DBCE" w14:textId="77777777" w:rsidTr="00FD17FF">
        <w:trPr>
          <w:trHeight w:val="431"/>
        </w:trPr>
        <w:tc>
          <w:tcPr>
            <w:tcW w:w="2122" w:type="dxa"/>
          </w:tcPr>
          <w:p w14:paraId="186E878F" w14:textId="77777777" w:rsidR="00F461A9" w:rsidRDefault="00F461A9" w:rsidP="00B76E00">
            <w:pPr>
              <w:spacing w:after="0" w:line="240" w:lineRule="auto"/>
              <w:rPr>
                <w:rFonts w:cs="Calibri"/>
                <w:lang w:val="fr-FR"/>
              </w:rPr>
            </w:pPr>
            <w:proofErr w:type="spellStart"/>
            <w:r>
              <w:rPr>
                <w:rFonts w:cs="Calibri"/>
                <w:lang w:val="fr-FR"/>
              </w:rPr>
              <w:t>RvSt</w:t>
            </w:r>
            <w:proofErr w:type="spellEnd"/>
          </w:p>
        </w:tc>
        <w:tc>
          <w:tcPr>
            <w:tcW w:w="5670" w:type="dxa"/>
            <w:shd w:val="clear" w:color="auto" w:fill="auto"/>
          </w:tcPr>
          <w:p w14:paraId="635331AB" w14:textId="77777777" w:rsidR="00F461A9" w:rsidRDefault="00F461A9" w:rsidP="00B76E00">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09A55A38" w14:textId="77777777" w:rsidR="00F461A9" w:rsidRDefault="00F461A9" w:rsidP="00B76E00">
            <w:pPr>
              <w:spacing w:after="0" w:line="240" w:lineRule="auto"/>
              <w:jc w:val="both"/>
              <w:rPr>
                <w:rFonts w:cs="Calibri"/>
                <w:lang w:val="fr-FR"/>
              </w:rPr>
            </w:pPr>
            <w:r>
              <w:rPr>
                <w:rFonts w:cs="Calibri"/>
                <w:lang w:val="fr-FR"/>
              </w:rPr>
              <w:t>Pas de remarques.</w:t>
            </w:r>
          </w:p>
        </w:tc>
      </w:tr>
      <w:tr w:rsidR="00F461A9" w:rsidRPr="00B76E00" w14:paraId="0824B198" w14:textId="77777777" w:rsidTr="00FD17FF">
        <w:trPr>
          <w:trHeight w:val="557"/>
        </w:trPr>
        <w:tc>
          <w:tcPr>
            <w:tcW w:w="2122" w:type="dxa"/>
          </w:tcPr>
          <w:p w14:paraId="62372FEC" w14:textId="77777777" w:rsidR="00F461A9" w:rsidRDefault="00F461A9" w:rsidP="00B76E00">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5670" w:type="dxa"/>
            <w:shd w:val="clear" w:color="auto" w:fill="auto"/>
          </w:tcPr>
          <w:p w14:paraId="7A365283" w14:textId="77777777" w:rsidR="00F461A9" w:rsidRPr="00FD17FF" w:rsidRDefault="00F461A9" w:rsidP="00B76E00">
            <w:pPr>
              <w:spacing w:after="0" w:line="240" w:lineRule="auto"/>
              <w:jc w:val="both"/>
              <w:rPr>
                <w:rFonts w:cs="Calibri"/>
                <w:lang w:val="nl-BE"/>
              </w:rPr>
            </w:pPr>
            <w:r w:rsidRPr="00FD17FF">
              <w:rPr>
                <w:rFonts w:cs="Calibri"/>
                <w:lang w:val="nl-BE"/>
              </w:rPr>
              <w:t>1. Al kan het ter herinnering nuttig zijn, het eerste lid is in strijd met het verbod opgelegd door het Europese Unierecht om rechtstreeks toepasselijke bepalingen, zoals de bepalingen van een verordening, om</w:t>
            </w:r>
            <w:r>
              <w:rPr>
                <w:rFonts w:cs="Calibri"/>
                <w:lang w:val="nl-BE"/>
              </w:rPr>
              <w:t xml:space="preserve"> te zetten in het intern recht.</w:t>
            </w:r>
            <w:r>
              <w:rPr>
                <w:rStyle w:val="Voetnootmarkering"/>
                <w:rFonts w:cs="Calibri"/>
                <w:lang w:val="nl-BE"/>
              </w:rPr>
              <w:footnoteReference w:id="1"/>
            </w:r>
          </w:p>
          <w:p w14:paraId="11086D5E" w14:textId="77777777" w:rsidR="00F461A9" w:rsidRPr="00FD17FF" w:rsidRDefault="00F461A9" w:rsidP="00B76E00">
            <w:pPr>
              <w:spacing w:after="0" w:line="240" w:lineRule="auto"/>
              <w:jc w:val="both"/>
              <w:rPr>
                <w:rFonts w:cs="Calibri"/>
                <w:lang w:val="nl-BE"/>
              </w:rPr>
            </w:pPr>
            <w:r w:rsidRPr="00FD17FF">
              <w:rPr>
                <w:rFonts w:cs="Calibri"/>
                <w:lang w:val="nl-BE"/>
              </w:rPr>
              <w:t>Dat lid moet geschrapt worden.</w:t>
            </w:r>
          </w:p>
          <w:p w14:paraId="0B5879B5" w14:textId="77777777" w:rsidR="00F461A9" w:rsidRPr="00FD17FF" w:rsidRDefault="00F461A9" w:rsidP="00B76E00">
            <w:pPr>
              <w:spacing w:after="0" w:line="240" w:lineRule="auto"/>
              <w:jc w:val="both"/>
              <w:rPr>
                <w:rFonts w:cs="Calibri"/>
                <w:lang w:val="nl-BE"/>
              </w:rPr>
            </w:pPr>
            <w:r w:rsidRPr="00FD17FF">
              <w:rPr>
                <w:rFonts w:cs="Calibri"/>
                <w:lang w:val="nl-BE"/>
              </w:rPr>
              <w:t>Dezelfde opmerking geldt voor het voorgestelde artikel 16:2, eerste lid, en het voorgestelde artikel 18:2.</w:t>
            </w:r>
          </w:p>
          <w:p w14:paraId="5C41BDF7" w14:textId="77777777" w:rsidR="00F461A9" w:rsidRPr="00FD17FF" w:rsidRDefault="00F461A9" w:rsidP="00B76E00">
            <w:pPr>
              <w:spacing w:after="0" w:line="240" w:lineRule="auto"/>
              <w:jc w:val="both"/>
              <w:rPr>
                <w:rFonts w:cs="Calibri"/>
                <w:lang w:val="nl-BE"/>
              </w:rPr>
            </w:pPr>
            <w:r w:rsidRPr="00FD17FF">
              <w:rPr>
                <w:rFonts w:cs="Calibri"/>
                <w:lang w:val="nl-BE"/>
              </w:rPr>
              <w:t xml:space="preserve">2. Het tweede lid strookt weliswaar met de geest van de bepalingen van artikel 9, lid 1, van verordening (EG) nr. 2157/2001 van de Raad van 8 oktober 2001 “betreffende het statuut van de Europese vennootschap (SE)”, maar is niet </w:t>
            </w:r>
            <w:r w:rsidRPr="00FD17FF">
              <w:rPr>
                <w:rFonts w:cs="Calibri"/>
                <w:lang w:val="nl-BE"/>
              </w:rPr>
              <w:lastRenderedPageBreak/>
              <w:t>helemaal identiek aan die bepalingen. Het kan bijgevolg strijdig zijn met het voornoemde artikel 9, waarvan het dispositief overigens op zichzelf volstaat.</w:t>
            </w:r>
          </w:p>
          <w:p w14:paraId="612182D2" w14:textId="77777777" w:rsidR="00F461A9" w:rsidRPr="00FD17FF" w:rsidRDefault="00F461A9" w:rsidP="00B76E00">
            <w:pPr>
              <w:spacing w:after="0" w:line="240" w:lineRule="auto"/>
              <w:jc w:val="both"/>
              <w:rPr>
                <w:rFonts w:cs="Calibri"/>
                <w:lang w:val="nl-BE"/>
              </w:rPr>
            </w:pPr>
            <w:r w:rsidRPr="00FD17FF">
              <w:rPr>
                <w:rFonts w:cs="Calibri"/>
                <w:lang w:val="nl-BE"/>
              </w:rPr>
              <w:t>Het tweede lid moet bijgevolg weggelaten worden.</w:t>
            </w:r>
          </w:p>
          <w:p w14:paraId="5DA4A72D" w14:textId="77777777" w:rsidR="00F461A9" w:rsidRPr="00FD17FF" w:rsidRDefault="00F461A9" w:rsidP="00B76E00">
            <w:pPr>
              <w:spacing w:after="0" w:line="240" w:lineRule="auto"/>
              <w:jc w:val="both"/>
              <w:rPr>
                <w:rFonts w:cs="Calibri"/>
                <w:lang w:val="nl-BE"/>
              </w:rPr>
            </w:pPr>
            <w:r w:rsidRPr="00FD17FF">
              <w:rPr>
                <w:rFonts w:cs="Calibri"/>
                <w:lang w:val="nl-BE"/>
              </w:rPr>
              <w:t>Dezelfde opmerking geldt mutatis mutandis voor het voorgestelde artikel 16:2, tweede lid.</w:t>
            </w:r>
          </w:p>
          <w:p w14:paraId="10AE50FA" w14:textId="77777777" w:rsidR="00F461A9" w:rsidRPr="00FD17FF" w:rsidRDefault="00F461A9" w:rsidP="00B76E00">
            <w:pPr>
              <w:spacing w:after="0" w:line="240" w:lineRule="auto"/>
              <w:jc w:val="both"/>
              <w:rPr>
                <w:rFonts w:cs="Calibri"/>
                <w:lang w:val="nl-BE"/>
              </w:rPr>
            </w:pPr>
            <w:r w:rsidRPr="00FD17FF">
              <w:rPr>
                <w:rFonts w:cs="Calibri"/>
                <w:lang w:val="nl-BE"/>
              </w:rPr>
              <w:t>3. Uit de bovenstaande opmerkingen 1 en 2 blijkt dat de voorgestelde artikelen 15:2, 16:2 en 18:2 volledig weggelaten moeten worden.</w:t>
            </w:r>
          </w:p>
        </w:tc>
        <w:tc>
          <w:tcPr>
            <w:tcW w:w="5953" w:type="dxa"/>
            <w:shd w:val="clear" w:color="auto" w:fill="auto"/>
          </w:tcPr>
          <w:p w14:paraId="0A654251" w14:textId="77777777" w:rsidR="00F461A9" w:rsidRPr="00FD17FF" w:rsidRDefault="00F461A9" w:rsidP="00B76E00">
            <w:pPr>
              <w:spacing w:after="0" w:line="240" w:lineRule="auto"/>
              <w:jc w:val="both"/>
              <w:rPr>
                <w:rFonts w:cs="Calibri"/>
                <w:lang w:val="fr-FR"/>
              </w:rPr>
            </w:pPr>
            <w:r w:rsidRPr="00FD17FF">
              <w:rPr>
                <w:rFonts w:cs="Calibri"/>
                <w:lang w:val="fr-FR"/>
              </w:rPr>
              <w:lastRenderedPageBreak/>
              <w:t>1. Même s’il est utile à titre de rappel, l’alinéa 1er contrevient à l’interdiction faite par le droit de l’Union européenne de transposer en droit national des dispositions immédiatement applicable</w:t>
            </w:r>
            <w:r>
              <w:rPr>
                <w:rFonts w:cs="Calibri"/>
                <w:lang w:val="fr-FR"/>
              </w:rPr>
              <w:t>s, comme celles des règlements</w:t>
            </w:r>
            <w:r>
              <w:rPr>
                <w:rStyle w:val="Voetnootmarkering"/>
                <w:rFonts w:cs="Calibri"/>
                <w:lang w:val="fr-FR"/>
              </w:rPr>
              <w:footnoteReference w:id="2"/>
            </w:r>
            <w:r w:rsidRPr="00FD17FF">
              <w:rPr>
                <w:rFonts w:cs="Calibri"/>
                <w:lang w:val="fr-FR"/>
              </w:rPr>
              <w:t>.</w:t>
            </w:r>
          </w:p>
          <w:p w14:paraId="69ADD971" w14:textId="77777777" w:rsidR="00F461A9" w:rsidRPr="00FD17FF" w:rsidRDefault="00F461A9" w:rsidP="00B76E00">
            <w:pPr>
              <w:spacing w:after="0" w:line="240" w:lineRule="auto"/>
              <w:jc w:val="both"/>
              <w:rPr>
                <w:rFonts w:cs="Calibri"/>
                <w:lang w:val="fr-FR"/>
              </w:rPr>
            </w:pPr>
            <w:r w:rsidRPr="00FD17FF">
              <w:rPr>
                <w:rFonts w:cs="Calibri"/>
                <w:lang w:val="fr-FR"/>
              </w:rPr>
              <w:t>Cet alinéa sera omis.</w:t>
            </w:r>
          </w:p>
          <w:p w14:paraId="4D7BB0D9" w14:textId="77777777" w:rsidR="00F461A9" w:rsidRPr="00FD17FF" w:rsidRDefault="00F461A9" w:rsidP="00B76E00">
            <w:pPr>
              <w:spacing w:after="0" w:line="240" w:lineRule="auto"/>
              <w:jc w:val="both"/>
              <w:rPr>
                <w:rFonts w:cs="Calibri"/>
                <w:lang w:val="fr-FR"/>
              </w:rPr>
            </w:pPr>
            <w:r w:rsidRPr="00FD17FF">
              <w:rPr>
                <w:rFonts w:cs="Calibri"/>
                <w:lang w:val="fr-FR"/>
              </w:rPr>
              <w:t xml:space="preserve">La même observation s’applique à l’article </w:t>
            </w:r>
            <w:proofErr w:type="gramStart"/>
            <w:r w:rsidRPr="00FD17FF">
              <w:rPr>
                <w:rFonts w:cs="Calibri"/>
                <w:lang w:val="fr-FR"/>
              </w:rPr>
              <w:t>16:</w:t>
            </w:r>
            <w:proofErr w:type="gramEnd"/>
            <w:r w:rsidRPr="00FD17FF">
              <w:rPr>
                <w:rFonts w:cs="Calibri"/>
                <w:lang w:val="fr-FR"/>
              </w:rPr>
              <w:t>2, alinéa 1er, et à l’article 18:2 proposé.</w:t>
            </w:r>
          </w:p>
          <w:p w14:paraId="1D3C44C8" w14:textId="77777777" w:rsidR="00F461A9" w:rsidRPr="00FD17FF" w:rsidRDefault="00F461A9" w:rsidP="00B76E00">
            <w:pPr>
              <w:spacing w:after="0" w:line="240" w:lineRule="auto"/>
              <w:jc w:val="both"/>
              <w:rPr>
                <w:rFonts w:cs="Calibri"/>
                <w:lang w:val="fr-FR"/>
              </w:rPr>
            </w:pPr>
            <w:r w:rsidRPr="00FD17FF">
              <w:rPr>
                <w:rFonts w:cs="Calibri"/>
                <w:lang w:val="fr-FR"/>
              </w:rPr>
              <w:t xml:space="preserve">2. Même s’il en respecte l’esprit, l’alinéa 2 n’est pas totalement identique aux dispositions de l’article 9, paragraphe 1, du règlement (CE) n° 2157/2001 du Conseil du 8 octobre 2001 ‘relatif au statut de la société européenne (SE)’. Il est par </w:t>
            </w:r>
            <w:r w:rsidRPr="00FD17FF">
              <w:rPr>
                <w:rFonts w:cs="Calibri"/>
                <w:lang w:val="fr-FR"/>
              </w:rPr>
              <w:lastRenderedPageBreak/>
              <w:t>conséquent susceptible d’être contraire à l’article 9 précité, dont le dispositif est par ailleurs autosuffisant.</w:t>
            </w:r>
          </w:p>
          <w:p w14:paraId="2C277F3B" w14:textId="77777777" w:rsidR="00F461A9" w:rsidRPr="00FD17FF" w:rsidRDefault="00F461A9" w:rsidP="00B76E00">
            <w:pPr>
              <w:spacing w:after="0" w:line="240" w:lineRule="auto"/>
              <w:jc w:val="both"/>
              <w:rPr>
                <w:rFonts w:cs="Calibri"/>
                <w:lang w:val="fr-FR"/>
              </w:rPr>
            </w:pPr>
            <w:r w:rsidRPr="00FD17FF">
              <w:rPr>
                <w:rFonts w:cs="Calibri"/>
                <w:lang w:val="fr-FR"/>
              </w:rPr>
              <w:t>En conséquence, l’alinéa 2 sera omis.</w:t>
            </w:r>
          </w:p>
          <w:p w14:paraId="0248B45B" w14:textId="77777777" w:rsidR="00F461A9" w:rsidRPr="00FD17FF" w:rsidRDefault="00F461A9" w:rsidP="00B76E00">
            <w:pPr>
              <w:spacing w:after="0" w:line="240" w:lineRule="auto"/>
              <w:jc w:val="both"/>
              <w:rPr>
                <w:rFonts w:cs="Calibri"/>
                <w:lang w:val="fr-FR"/>
              </w:rPr>
            </w:pPr>
            <w:r w:rsidRPr="00FD17FF">
              <w:rPr>
                <w:rFonts w:cs="Calibri"/>
                <w:lang w:val="fr-FR"/>
              </w:rPr>
              <w:t xml:space="preserve">La même observation s’applique mutatis mutandis à l’article </w:t>
            </w:r>
            <w:proofErr w:type="gramStart"/>
            <w:r w:rsidRPr="00FD17FF">
              <w:rPr>
                <w:rFonts w:cs="Calibri"/>
                <w:lang w:val="fr-FR"/>
              </w:rPr>
              <w:t>16:</w:t>
            </w:r>
            <w:proofErr w:type="gramEnd"/>
            <w:r w:rsidRPr="00FD17FF">
              <w:rPr>
                <w:rFonts w:cs="Calibri"/>
                <w:lang w:val="fr-FR"/>
              </w:rPr>
              <w:t>2, alinéa 2, proposé.</w:t>
            </w:r>
          </w:p>
          <w:p w14:paraId="3A3BCA32" w14:textId="77777777" w:rsidR="00F461A9" w:rsidRPr="00FD17FF" w:rsidRDefault="00F461A9" w:rsidP="00B76E00">
            <w:pPr>
              <w:spacing w:after="0" w:line="240" w:lineRule="auto"/>
              <w:jc w:val="both"/>
              <w:rPr>
                <w:rFonts w:cs="Calibri"/>
                <w:lang w:val="fr-FR"/>
              </w:rPr>
            </w:pPr>
            <w:r w:rsidRPr="00FD17FF">
              <w:rPr>
                <w:rFonts w:cs="Calibri"/>
                <w:lang w:val="fr-FR"/>
              </w:rPr>
              <w:t xml:space="preserve">3. Il résulte des observations nos 1 et 2 ci-dessus que les articles </w:t>
            </w:r>
            <w:proofErr w:type="gramStart"/>
            <w:r w:rsidRPr="00FD17FF">
              <w:rPr>
                <w:rFonts w:cs="Calibri"/>
                <w:lang w:val="fr-FR"/>
              </w:rPr>
              <w:t>15:</w:t>
            </w:r>
            <w:proofErr w:type="gramEnd"/>
            <w:r w:rsidRPr="00FD17FF">
              <w:rPr>
                <w:rFonts w:cs="Calibri"/>
                <w:lang w:val="fr-FR"/>
              </w:rPr>
              <w:t>2, 16:2 et 18:2 proposés doivent être omis dans leur intégralité.</w:t>
            </w:r>
          </w:p>
          <w:p w14:paraId="22C8B06B" w14:textId="77777777" w:rsidR="00F461A9" w:rsidRPr="00FD17FF" w:rsidRDefault="00F461A9" w:rsidP="00B76E00">
            <w:pPr>
              <w:spacing w:after="0" w:line="240" w:lineRule="auto"/>
              <w:jc w:val="both"/>
              <w:rPr>
                <w:rFonts w:cs="Calibri"/>
                <w:lang w:val="fr-FR"/>
              </w:rPr>
            </w:pPr>
          </w:p>
        </w:tc>
      </w:tr>
    </w:tbl>
    <w:p w14:paraId="02BDDAF5" w14:textId="77777777" w:rsidR="001203BA" w:rsidRPr="0047203B" w:rsidRDefault="001203BA" w:rsidP="001203BA">
      <w:pPr>
        <w:rPr>
          <w:lang w:val="fr-FR"/>
        </w:rPr>
      </w:pPr>
    </w:p>
    <w:p w14:paraId="48858819"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AF57" w14:textId="77777777" w:rsidR="007861AD" w:rsidRDefault="007861AD" w:rsidP="007464FD">
      <w:pPr>
        <w:spacing w:after="0" w:line="240" w:lineRule="auto"/>
      </w:pPr>
      <w:r>
        <w:separator/>
      </w:r>
    </w:p>
  </w:endnote>
  <w:endnote w:type="continuationSeparator" w:id="0">
    <w:p w14:paraId="79FF5D74" w14:textId="77777777" w:rsidR="007861AD" w:rsidRDefault="007861AD" w:rsidP="0074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AE6" w14:textId="77777777" w:rsidR="007861AD" w:rsidRDefault="007861AD" w:rsidP="007464FD">
      <w:pPr>
        <w:spacing w:after="0" w:line="240" w:lineRule="auto"/>
      </w:pPr>
      <w:r>
        <w:separator/>
      </w:r>
    </w:p>
  </w:footnote>
  <w:footnote w:type="continuationSeparator" w:id="0">
    <w:p w14:paraId="034F9A4C" w14:textId="77777777" w:rsidR="007861AD" w:rsidRDefault="007861AD" w:rsidP="007464FD">
      <w:pPr>
        <w:spacing w:after="0" w:line="240" w:lineRule="auto"/>
      </w:pPr>
      <w:r>
        <w:continuationSeparator/>
      </w:r>
    </w:p>
  </w:footnote>
  <w:footnote w:id="1">
    <w:p w14:paraId="5BD378A3" w14:textId="77777777" w:rsidR="00F461A9" w:rsidRPr="00FD17FF" w:rsidRDefault="00F461A9">
      <w:pPr>
        <w:pStyle w:val="Voetnoottekst"/>
        <w:rPr>
          <w:lang w:val="fr-FR"/>
        </w:rPr>
      </w:pPr>
      <w:r>
        <w:rPr>
          <w:rStyle w:val="Voetnootmarkering"/>
        </w:rPr>
        <w:footnoteRef/>
      </w:r>
      <w:r w:rsidRPr="00FD17FF">
        <w:rPr>
          <w:lang w:val="fr-FR"/>
        </w:rPr>
        <w:t xml:space="preserve"> </w:t>
      </w:r>
      <w:r w:rsidRPr="00F04E77">
        <w:rPr>
          <w:lang w:val="fr-BE"/>
        </w:rPr>
        <w:t xml:space="preserve">C.J.U.E., 10 octobre 1973, </w:t>
      </w:r>
      <w:proofErr w:type="spellStart"/>
      <w:r w:rsidRPr="00F04E77">
        <w:rPr>
          <w:i/>
          <w:lang w:val="fr-BE"/>
        </w:rPr>
        <w:t>Fratelli</w:t>
      </w:r>
      <w:proofErr w:type="spellEnd"/>
      <w:r w:rsidRPr="00F04E77">
        <w:rPr>
          <w:i/>
          <w:lang w:val="fr-BE"/>
        </w:rPr>
        <w:t xml:space="preserve"> </w:t>
      </w:r>
      <w:proofErr w:type="spellStart"/>
      <w:r w:rsidRPr="00F04E77">
        <w:rPr>
          <w:i/>
          <w:lang w:val="fr-BE"/>
        </w:rPr>
        <w:t>Variola</w:t>
      </w:r>
      <w:proofErr w:type="spellEnd"/>
      <w:r w:rsidRPr="00F04E77">
        <w:rPr>
          <w:i/>
          <w:lang w:val="fr-BE"/>
        </w:rPr>
        <w:t xml:space="preserve"> </w:t>
      </w:r>
      <w:proofErr w:type="spellStart"/>
      <w:r w:rsidRPr="00F04E77">
        <w:rPr>
          <w:i/>
          <w:lang w:val="fr-BE"/>
        </w:rPr>
        <w:t>S.p.A</w:t>
      </w:r>
      <w:proofErr w:type="spellEnd"/>
      <w:r w:rsidRPr="00F04E77">
        <w:rPr>
          <w:i/>
          <w:lang w:val="fr-BE"/>
        </w:rPr>
        <w:t>.</w:t>
      </w:r>
      <w:r w:rsidRPr="00F04E77">
        <w:rPr>
          <w:lang w:val="fr-BE"/>
        </w:rPr>
        <w:t xml:space="preserve">, n° 34-73, </w:t>
      </w:r>
      <w:r w:rsidRPr="00F04E77">
        <w:rPr>
          <w:i/>
          <w:lang w:val="fr-BE"/>
        </w:rPr>
        <w:t>Rec.</w:t>
      </w:r>
      <w:r w:rsidRPr="00F04E77">
        <w:rPr>
          <w:lang w:val="fr-BE"/>
        </w:rPr>
        <w:t xml:space="preserve"> 1973, p. 981, ECLI:EU:C:1973:101, point 10.</w:t>
      </w:r>
    </w:p>
  </w:footnote>
  <w:footnote w:id="2">
    <w:p w14:paraId="5AC7F5E8" w14:textId="77777777" w:rsidR="00F461A9" w:rsidRPr="00FD17FF" w:rsidRDefault="00F461A9">
      <w:pPr>
        <w:pStyle w:val="Voetnoottekst"/>
        <w:rPr>
          <w:lang w:val="fr-FR"/>
        </w:rPr>
      </w:pPr>
      <w:r>
        <w:rPr>
          <w:rStyle w:val="Voetnootmarkering"/>
        </w:rPr>
        <w:footnoteRef/>
      </w:r>
      <w:r w:rsidRPr="00FD17FF">
        <w:rPr>
          <w:lang w:val="fr-FR"/>
        </w:rPr>
        <w:t xml:space="preserve"> </w:t>
      </w:r>
      <w:proofErr w:type="spellStart"/>
      <w:r>
        <w:rPr>
          <w:lang w:val="fr-BE"/>
        </w:rPr>
        <w:t>HvJ</w:t>
      </w:r>
      <w:proofErr w:type="spellEnd"/>
      <w:r>
        <w:rPr>
          <w:lang w:val="fr-BE"/>
        </w:rPr>
        <w:t xml:space="preserve">, 10 </w:t>
      </w:r>
      <w:proofErr w:type="spellStart"/>
      <w:r>
        <w:rPr>
          <w:lang w:val="fr-BE"/>
        </w:rPr>
        <w:t>oktober</w:t>
      </w:r>
      <w:proofErr w:type="spellEnd"/>
      <w:r>
        <w:rPr>
          <w:lang w:val="fr-BE"/>
        </w:rPr>
        <w:t xml:space="preserve"> 1973, </w:t>
      </w:r>
      <w:proofErr w:type="spellStart"/>
      <w:r>
        <w:rPr>
          <w:lang w:val="fr-BE"/>
        </w:rPr>
        <w:t>Fratelli</w:t>
      </w:r>
      <w:proofErr w:type="spellEnd"/>
      <w:r>
        <w:rPr>
          <w:lang w:val="fr-BE"/>
        </w:rPr>
        <w:t xml:space="preserve"> </w:t>
      </w:r>
      <w:proofErr w:type="spellStart"/>
      <w:r>
        <w:rPr>
          <w:lang w:val="fr-BE"/>
        </w:rPr>
        <w:t>Variola</w:t>
      </w:r>
      <w:proofErr w:type="spellEnd"/>
      <w:r>
        <w:rPr>
          <w:lang w:val="fr-BE"/>
        </w:rPr>
        <w:t xml:space="preserve"> </w:t>
      </w:r>
      <w:proofErr w:type="spellStart"/>
      <w:r>
        <w:rPr>
          <w:lang w:val="fr-BE"/>
        </w:rPr>
        <w:t>S.p.A</w:t>
      </w:r>
      <w:proofErr w:type="spellEnd"/>
      <w:r>
        <w:rPr>
          <w:lang w:val="fr-BE"/>
        </w:rPr>
        <w:t xml:space="preserve">., nr. 34 – 73, </w:t>
      </w:r>
      <w:proofErr w:type="spellStart"/>
      <w:r>
        <w:rPr>
          <w:lang w:val="fr-BE"/>
        </w:rPr>
        <w:t>Jurisprudentie</w:t>
      </w:r>
      <w:proofErr w:type="spellEnd"/>
      <w:r>
        <w:rPr>
          <w:lang w:val="fr-BE"/>
        </w:rPr>
        <w:t xml:space="preserve"> 1973, 981, ECLI : EU :C : 1973 :101, punt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71562"/>
    <w:rsid w:val="000B098F"/>
    <w:rsid w:val="000B17B4"/>
    <w:rsid w:val="000D6EAF"/>
    <w:rsid w:val="000E14C5"/>
    <w:rsid w:val="000F28E4"/>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4ADA"/>
    <w:rsid w:val="002337A0"/>
    <w:rsid w:val="00251BBF"/>
    <w:rsid w:val="00253930"/>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738"/>
    <w:rsid w:val="003340F4"/>
    <w:rsid w:val="00340C21"/>
    <w:rsid w:val="003564D8"/>
    <w:rsid w:val="00357D30"/>
    <w:rsid w:val="00367502"/>
    <w:rsid w:val="003831C0"/>
    <w:rsid w:val="00392936"/>
    <w:rsid w:val="003A1C6D"/>
    <w:rsid w:val="003A3D34"/>
    <w:rsid w:val="003A7991"/>
    <w:rsid w:val="003B06EB"/>
    <w:rsid w:val="003C38B1"/>
    <w:rsid w:val="003D744D"/>
    <w:rsid w:val="003F24EE"/>
    <w:rsid w:val="003F6F60"/>
    <w:rsid w:val="00415C03"/>
    <w:rsid w:val="00423115"/>
    <w:rsid w:val="004334BF"/>
    <w:rsid w:val="00441E30"/>
    <w:rsid w:val="004443F2"/>
    <w:rsid w:val="004637CE"/>
    <w:rsid w:val="0047203B"/>
    <w:rsid w:val="00492278"/>
    <w:rsid w:val="00492FE9"/>
    <w:rsid w:val="004A39E3"/>
    <w:rsid w:val="004C3052"/>
    <w:rsid w:val="004C63AD"/>
    <w:rsid w:val="00502CB1"/>
    <w:rsid w:val="005133BD"/>
    <w:rsid w:val="00513F84"/>
    <w:rsid w:val="00517633"/>
    <w:rsid w:val="00525185"/>
    <w:rsid w:val="005364B4"/>
    <w:rsid w:val="005415E2"/>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8143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464FD"/>
    <w:rsid w:val="007524C0"/>
    <w:rsid w:val="007532BF"/>
    <w:rsid w:val="007861AD"/>
    <w:rsid w:val="00792C53"/>
    <w:rsid w:val="007B17CA"/>
    <w:rsid w:val="007B581C"/>
    <w:rsid w:val="007D7A6B"/>
    <w:rsid w:val="00800A45"/>
    <w:rsid w:val="00800EA8"/>
    <w:rsid w:val="008059B6"/>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6E5F"/>
    <w:rsid w:val="009172D4"/>
    <w:rsid w:val="00931894"/>
    <w:rsid w:val="00935E60"/>
    <w:rsid w:val="00943313"/>
    <w:rsid w:val="009460AE"/>
    <w:rsid w:val="009627E9"/>
    <w:rsid w:val="0096303B"/>
    <w:rsid w:val="0098698D"/>
    <w:rsid w:val="009A4260"/>
    <w:rsid w:val="009B3BE6"/>
    <w:rsid w:val="009C0DC9"/>
    <w:rsid w:val="009D0B3E"/>
    <w:rsid w:val="009F648C"/>
    <w:rsid w:val="009F7906"/>
    <w:rsid w:val="00A0074A"/>
    <w:rsid w:val="00A01EFB"/>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B03864"/>
    <w:rsid w:val="00B03E33"/>
    <w:rsid w:val="00B14FC3"/>
    <w:rsid w:val="00B15F17"/>
    <w:rsid w:val="00B41CE6"/>
    <w:rsid w:val="00B43558"/>
    <w:rsid w:val="00B44890"/>
    <w:rsid w:val="00B50606"/>
    <w:rsid w:val="00B61E27"/>
    <w:rsid w:val="00B6333A"/>
    <w:rsid w:val="00B76E00"/>
    <w:rsid w:val="00B779CF"/>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1E4F"/>
    <w:rsid w:val="00C47A8C"/>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E17D3"/>
    <w:rsid w:val="00EE44AC"/>
    <w:rsid w:val="00F03C83"/>
    <w:rsid w:val="00F134E0"/>
    <w:rsid w:val="00F20FCB"/>
    <w:rsid w:val="00F234EA"/>
    <w:rsid w:val="00F26581"/>
    <w:rsid w:val="00F301AA"/>
    <w:rsid w:val="00F31712"/>
    <w:rsid w:val="00F31AEF"/>
    <w:rsid w:val="00F343DF"/>
    <w:rsid w:val="00F461A9"/>
    <w:rsid w:val="00F54E2C"/>
    <w:rsid w:val="00F61965"/>
    <w:rsid w:val="00F63D28"/>
    <w:rsid w:val="00F67171"/>
    <w:rsid w:val="00F74E3F"/>
    <w:rsid w:val="00F9299A"/>
    <w:rsid w:val="00FD0CAE"/>
    <w:rsid w:val="00FD17F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26B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Voetnoottekst">
    <w:name w:val="footnote text"/>
    <w:basedOn w:val="Standaard"/>
    <w:link w:val="VoetnoottekstTeken"/>
    <w:semiHidden/>
    <w:rsid w:val="007464FD"/>
    <w:pPr>
      <w:spacing w:after="0" w:line="240" w:lineRule="auto"/>
    </w:pPr>
    <w:rPr>
      <w:rFonts w:ascii="Times New Roman" w:eastAsia="Times New Roman" w:hAnsi="Times New Roman" w:cs="Times New Roman"/>
      <w:snapToGrid w:val="0"/>
      <w:sz w:val="20"/>
      <w:szCs w:val="20"/>
      <w:lang w:val="nl-NL"/>
    </w:rPr>
  </w:style>
  <w:style w:type="character" w:customStyle="1" w:styleId="VoetnoottekstTeken">
    <w:name w:val="Voetnoottekst Teken"/>
    <w:basedOn w:val="Standaardalinea-lettertype"/>
    <w:link w:val="Voetnoottekst"/>
    <w:semiHidden/>
    <w:rsid w:val="007464FD"/>
    <w:rPr>
      <w:rFonts w:ascii="Times New Roman" w:eastAsia="Times New Roman" w:hAnsi="Times New Roman" w:cs="Times New Roman"/>
      <w:snapToGrid w:val="0"/>
      <w:sz w:val="20"/>
      <w:szCs w:val="20"/>
      <w:lang w:val="nl-NL"/>
    </w:rPr>
  </w:style>
  <w:style w:type="character" w:styleId="Voetnootmarkering">
    <w:name w:val="footnote reference"/>
    <w:aliases w:val="4_G"/>
    <w:uiPriority w:val="99"/>
    <w:qFormat/>
    <w:rsid w:val="00746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4A1B-C75A-0D46-8AF5-02117AB6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2019-11-04T15:17:00Z</dcterms:created>
  <dcterms:modified xsi:type="dcterms:W3CDTF">2022-02-07T13:16:00Z</dcterms:modified>
</cp:coreProperties>
</file>