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812"/>
      </w:tblGrid>
      <w:tr w:rsidR="001203BA" w:rsidRPr="00534740" w14:paraId="7B97BCBE" w14:textId="77777777" w:rsidTr="008612B1">
        <w:tc>
          <w:tcPr>
            <w:tcW w:w="2122" w:type="dxa"/>
          </w:tcPr>
          <w:p w14:paraId="03C29B81" w14:textId="77777777" w:rsidR="001203BA" w:rsidRPr="00B07AC9" w:rsidRDefault="004610CD" w:rsidP="00C16225">
            <w:pPr>
              <w:spacing w:after="0"/>
              <w:rPr>
                <w:b/>
                <w:sz w:val="32"/>
                <w:szCs w:val="32"/>
                <w:lang w:val="nl-BE"/>
              </w:rPr>
            </w:pPr>
            <w:r>
              <w:rPr>
                <w:b/>
                <w:sz w:val="32"/>
                <w:szCs w:val="32"/>
                <w:lang w:val="nl-BE"/>
              </w:rPr>
              <w:t>ARTIKEL 15:21</w:t>
            </w:r>
          </w:p>
        </w:tc>
        <w:tc>
          <w:tcPr>
            <w:tcW w:w="11859" w:type="dxa"/>
            <w:gridSpan w:val="2"/>
            <w:shd w:val="clear" w:color="auto" w:fill="auto"/>
          </w:tcPr>
          <w:p w14:paraId="5BD45397" w14:textId="77777777" w:rsidR="001203BA" w:rsidRPr="007B17CA" w:rsidRDefault="001203BA" w:rsidP="00C16225">
            <w:pPr>
              <w:spacing w:after="0"/>
              <w:jc w:val="center"/>
              <w:rPr>
                <w:rFonts w:ascii="Cambria" w:eastAsia="Calibri" w:hAnsi="Cambria" w:cs="Times New Roman"/>
                <w:b/>
                <w:bCs/>
                <w:color w:val="4F81BD"/>
                <w:sz w:val="32"/>
                <w:szCs w:val="26"/>
                <w:lang w:val="nl-NL" w:eastAsia="fr-FR"/>
              </w:rPr>
            </w:pPr>
          </w:p>
        </w:tc>
      </w:tr>
      <w:tr w:rsidR="001B753D" w:rsidRPr="00534740" w14:paraId="7ACC6D25" w14:textId="77777777" w:rsidTr="008612B1">
        <w:tc>
          <w:tcPr>
            <w:tcW w:w="2122" w:type="dxa"/>
          </w:tcPr>
          <w:p w14:paraId="0730ACA7" w14:textId="77777777" w:rsidR="001B753D" w:rsidRDefault="001B753D" w:rsidP="00C16225">
            <w:pPr>
              <w:spacing w:after="0"/>
              <w:rPr>
                <w:b/>
                <w:sz w:val="32"/>
                <w:szCs w:val="32"/>
                <w:lang w:val="nl-BE"/>
              </w:rPr>
            </w:pPr>
          </w:p>
        </w:tc>
        <w:tc>
          <w:tcPr>
            <w:tcW w:w="11859" w:type="dxa"/>
            <w:gridSpan w:val="2"/>
            <w:shd w:val="clear" w:color="auto" w:fill="auto"/>
          </w:tcPr>
          <w:p w14:paraId="715C3E3C" w14:textId="77777777" w:rsidR="001B753D" w:rsidRPr="007B17CA" w:rsidRDefault="001B753D" w:rsidP="00C16225">
            <w:pPr>
              <w:spacing w:after="0"/>
              <w:jc w:val="center"/>
              <w:rPr>
                <w:rFonts w:ascii="Cambria" w:eastAsia="Calibri" w:hAnsi="Cambria" w:cs="Times New Roman"/>
                <w:b/>
                <w:bCs/>
                <w:color w:val="4F81BD"/>
                <w:sz w:val="32"/>
                <w:szCs w:val="26"/>
                <w:lang w:val="nl-NL" w:eastAsia="fr-FR"/>
              </w:rPr>
            </w:pPr>
          </w:p>
        </w:tc>
      </w:tr>
      <w:tr w:rsidR="004610CD" w:rsidRPr="00B44C06" w14:paraId="39A68573" w14:textId="77777777" w:rsidTr="008612B1">
        <w:trPr>
          <w:trHeight w:val="839"/>
        </w:trPr>
        <w:tc>
          <w:tcPr>
            <w:tcW w:w="2122" w:type="dxa"/>
          </w:tcPr>
          <w:p w14:paraId="0F840D45" w14:textId="77777777" w:rsidR="004610CD" w:rsidRDefault="004610CD" w:rsidP="00C16225">
            <w:pPr>
              <w:spacing w:after="0" w:line="240" w:lineRule="auto"/>
              <w:rPr>
                <w:rFonts w:cs="Calibri"/>
                <w:lang w:val="nl-BE"/>
              </w:rPr>
            </w:pPr>
            <w:r>
              <w:rPr>
                <w:rFonts w:cs="Calibri"/>
                <w:lang w:val="nl-BE"/>
              </w:rPr>
              <w:t>WVV</w:t>
            </w:r>
          </w:p>
        </w:tc>
        <w:tc>
          <w:tcPr>
            <w:tcW w:w="6047" w:type="dxa"/>
            <w:shd w:val="clear" w:color="auto" w:fill="auto"/>
          </w:tcPr>
          <w:p w14:paraId="57FDC809" w14:textId="6F64EFB0" w:rsidR="004610CD" w:rsidRPr="00B73889" w:rsidRDefault="004610CD" w:rsidP="00C16225">
            <w:pPr>
              <w:spacing w:after="0" w:line="240" w:lineRule="auto"/>
              <w:jc w:val="both"/>
              <w:rPr>
                <w:rFonts w:cs="Calibri"/>
                <w:lang w:val="nl-BE"/>
              </w:rPr>
            </w:pPr>
            <w:r w:rsidRPr="00614061">
              <w:rPr>
                <w:rFonts w:cs="Calibri"/>
                <w:lang w:val="nl-BE"/>
              </w:rPr>
              <w:t xml:space="preserve">In geval van een belangenconflict als bedoeld </w:t>
            </w:r>
            <w:r w:rsidR="00F20183">
              <w:rPr>
                <w:rFonts w:cs="Calibri"/>
                <w:lang w:val="nl-BE"/>
              </w:rPr>
              <w:fldChar w:fldCharType="begin"/>
            </w:r>
            <w:r w:rsidR="00F20183">
              <w:rPr>
                <w:rFonts w:cs="Calibri"/>
                <w:lang w:val="nl-BE"/>
              </w:rPr>
              <w:instrText xml:space="preserve"> HYPERLINK  \l "_Amendement_299" </w:instrText>
            </w:r>
            <w:r w:rsidR="00F20183">
              <w:rPr>
                <w:rFonts w:cs="Calibri"/>
                <w:lang w:val="nl-BE"/>
              </w:rPr>
            </w:r>
            <w:r w:rsidR="00F20183">
              <w:rPr>
                <w:rFonts w:cs="Calibri"/>
                <w:lang w:val="nl-BE"/>
              </w:rPr>
              <w:fldChar w:fldCharType="separate"/>
            </w:r>
            <w:r w:rsidRPr="00F20183">
              <w:rPr>
                <w:rStyle w:val="Hyperlink"/>
                <w:rFonts w:cs="Calibri"/>
                <w:lang w:val="nl-BE"/>
              </w:rPr>
              <w:t>in artikel 7:115 of als bedoeld in artikel 7:116</w:t>
            </w:r>
            <w:r w:rsidR="00F20183">
              <w:rPr>
                <w:rFonts w:cs="Calibri"/>
                <w:lang w:val="nl-BE"/>
              </w:rPr>
              <w:fldChar w:fldCharType="end"/>
            </w:r>
            <w:r w:rsidRPr="00614061">
              <w:rPr>
                <w:rFonts w:cs="Calibri"/>
                <w:lang w:val="nl-BE"/>
              </w:rPr>
              <w:t xml:space="preserve"> verwijst de directieraad de beslissing naar de raad van toezicht</w:t>
            </w:r>
            <w:r>
              <w:rPr>
                <w:rFonts w:cs="Calibri"/>
                <w:lang w:val="nl-BE"/>
              </w:rPr>
              <w:t>.</w:t>
            </w:r>
          </w:p>
        </w:tc>
        <w:tc>
          <w:tcPr>
            <w:tcW w:w="5812" w:type="dxa"/>
            <w:shd w:val="clear" w:color="auto" w:fill="auto"/>
          </w:tcPr>
          <w:p w14:paraId="3DEFF569" w14:textId="3C3B5C32" w:rsidR="004610CD" w:rsidRPr="001E604E" w:rsidRDefault="004610CD" w:rsidP="00C16225">
            <w:pPr>
              <w:spacing w:after="0" w:line="240" w:lineRule="auto"/>
              <w:jc w:val="both"/>
              <w:rPr>
                <w:rFonts w:cs="Calibri"/>
                <w:lang w:val="fr-FR"/>
              </w:rPr>
            </w:pPr>
            <w:r w:rsidRPr="00614061">
              <w:rPr>
                <w:rFonts w:cs="Calibri"/>
                <w:lang w:val="fr-BE"/>
              </w:rPr>
              <w:t xml:space="preserve">En cas de conflit d’intérêts visé </w:t>
            </w:r>
            <w:hyperlink w:anchor="_Amendement_299_1" w:history="1">
              <w:r w:rsidRPr="00F20183">
                <w:rPr>
                  <w:rStyle w:val="Hyperlink"/>
                  <w:rFonts w:cs="Calibri"/>
                  <w:lang w:val="fr-BE"/>
                </w:rPr>
                <w:t>à l’article 7:1115 ou à l’article 7:116</w:t>
              </w:r>
            </w:hyperlink>
            <w:bookmarkStart w:id="0" w:name="_GoBack"/>
            <w:bookmarkEnd w:id="0"/>
            <w:r w:rsidRPr="00614061">
              <w:rPr>
                <w:rFonts w:cs="Calibri"/>
                <w:lang w:val="fr-BE"/>
              </w:rPr>
              <w:t>, le conseil de direction renvoie la décision au conseil de surveillance.</w:t>
            </w:r>
          </w:p>
        </w:tc>
      </w:tr>
      <w:tr w:rsidR="00B44C06" w:rsidRPr="00B44C06" w14:paraId="26901A17" w14:textId="77777777" w:rsidTr="00B44C06">
        <w:trPr>
          <w:trHeight w:val="423"/>
        </w:trPr>
        <w:tc>
          <w:tcPr>
            <w:tcW w:w="2122" w:type="dxa"/>
          </w:tcPr>
          <w:p w14:paraId="445A717B" w14:textId="77777777" w:rsidR="00B44C06" w:rsidRPr="00442FA9" w:rsidRDefault="00B44C06" w:rsidP="00E9206C">
            <w:pPr>
              <w:spacing w:after="0"/>
            </w:pPr>
            <w:proofErr w:type="spellStart"/>
            <w:r w:rsidRPr="00442FA9">
              <w:t>Ontwerp</w:t>
            </w:r>
            <w:proofErr w:type="spellEnd"/>
          </w:p>
        </w:tc>
        <w:tc>
          <w:tcPr>
            <w:tcW w:w="6047" w:type="dxa"/>
            <w:shd w:val="clear" w:color="auto" w:fill="auto"/>
          </w:tcPr>
          <w:p w14:paraId="5CC05A51" w14:textId="77777777" w:rsidR="00B44C06" w:rsidRPr="00442FA9" w:rsidRDefault="00B44C06" w:rsidP="00E9206C">
            <w:pPr>
              <w:spacing w:after="0"/>
            </w:pPr>
            <w:proofErr w:type="spellStart"/>
            <w:r w:rsidRPr="00442FA9">
              <w:t>Geen</w:t>
            </w:r>
            <w:proofErr w:type="spellEnd"/>
            <w:r w:rsidRPr="00442FA9">
              <w:t xml:space="preserve"> </w:t>
            </w:r>
            <w:proofErr w:type="spellStart"/>
            <w:r w:rsidRPr="00442FA9">
              <w:t>artikel</w:t>
            </w:r>
            <w:proofErr w:type="spellEnd"/>
            <w:r>
              <w:t>.</w:t>
            </w:r>
          </w:p>
        </w:tc>
        <w:tc>
          <w:tcPr>
            <w:tcW w:w="5812" w:type="dxa"/>
            <w:shd w:val="clear" w:color="auto" w:fill="auto"/>
          </w:tcPr>
          <w:p w14:paraId="5A55BF13" w14:textId="77777777" w:rsidR="00B44C06" w:rsidRDefault="00B44C06" w:rsidP="00E9206C">
            <w:pPr>
              <w:spacing w:after="0"/>
            </w:pPr>
            <w:r w:rsidRPr="00442FA9">
              <w:t xml:space="preserve">Pas </w:t>
            </w:r>
            <w:proofErr w:type="spellStart"/>
            <w:r w:rsidRPr="00442FA9">
              <w:t>d’article</w:t>
            </w:r>
            <w:proofErr w:type="spellEnd"/>
            <w:r>
              <w:t>.</w:t>
            </w:r>
          </w:p>
        </w:tc>
      </w:tr>
      <w:tr w:rsidR="00B44C06" w:rsidRPr="007B0F35" w14:paraId="7BE657AD" w14:textId="77777777" w:rsidTr="008612B1">
        <w:trPr>
          <w:trHeight w:val="416"/>
        </w:trPr>
        <w:tc>
          <w:tcPr>
            <w:tcW w:w="2122" w:type="dxa"/>
          </w:tcPr>
          <w:p w14:paraId="0145A433" w14:textId="77777777" w:rsidR="00B44C06" w:rsidRPr="007B0F35" w:rsidRDefault="00B44C06" w:rsidP="00C16225">
            <w:pPr>
              <w:spacing w:after="0" w:line="240" w:lineRule="auto"/>
              <w:rPr>
                <w:rFonts w:cs="Calibri"/>
                <w:lang w:val="fr-FR"/>
              </w:rPr>
            </w:pPr>
            <w:proofErr w:type="spellStart"/>
            <w:r>
              <w:rPr>
                <w:rFonts w:cs="Calibri"/>
                <w:lang w:val="fr-FR"/>
              </w:rPr>
              <w:t>Voorontwerp</w:t>
            </w:r>
            <w:proofErr w:type="spellEnd"/>
          </w:p>
        </w:tc>
        <w:tc>
          <w:tcPr>
            <w:tcW w:w="6047" w:type="dxa"/>
            <w:shd w:val="clear" w:color="auto" w:fill="auto"/>
          </w:tcPr>
          <w:p w14:paraId="67B8E2B6" w14:textId="77777777" w:rsidR="00B44C06" w:rsidRPr="007B0F35" w:rsidRDefault="00B44C06" w:rsidP="00C16225">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3ADE4413" w14:textId="77777777" w:rsidR="00B44C06" w:rsidRPr="00614061" w:rsidRDefault="00B44C06" w:rsidP="00C16225">
            <w:pPr>
              <w:spacing w:after="0" w:line="240" w:lineRule="auto"/>
              <w:jc w:val="both"/>
              <w:rPr>
                <w:rFonts w:cs="Calibri"/>
                <w:lang w:val="fr-BE"/>
              </w:rPr>
            </w:pPr>
            <w:r>
              <w:rPr>
                <w:rFonts w:cs="Calibri"/>
                <w:lang w:val="fr-BE"/>
              </w:rPr>
              <w:t>Pas d’article.</w:t>
            </w:r>
          </w:p>
        </w:tc>
      </w:tr>
      <w:tr w:rsidR="00B44C06" w:rsidRPr="00B44C06" w14:paraId="3B81F28A" w14:textId="77777777" w:rsidTr="008612B1">
        <w:trPr>
          <w:trHeight w:val="367"/>
        </w:trPr>
        <w:tc>
          <w:tcPr>
            <w:tcW w:w="2122" w:type="dxa"/>
          </w:tcPr>
          <w:p w14:paraId="4EBE92B0" w14:textId="77777777" w:rsidR="00B44C06" w:rsidRPr="00442FA9" w:rsidRDefault="00B44C06" w:rsidP="00C16225">
            <w:pPr>
              <w:spacing w:after="0"/>
            </w:pPr>
            <w:proofErr w:type="spellStart"/>
            <w:r>
              <w:t>MvT</w:t>
            </w:r>
            <w:proofErr w:type="spellEnd"/>
          </w:p>
        </w:tc>
        <w:tc>
          <w:tcPr>
            <w:tcW w:w="6047" w:type="dxa"/>
            <w:shd w:val="clear" w:color="auto" w:fill="auto"/>
          </w:tcPr>
          <w:p w14:paraId="000E5A1C" w14:textId="77777777" w:rsidR="00B44C06" w:rsidRPr="00C16225" w:rsidRDefault="00B44C06" w:rsidP="00C16225">
            <w:pPr>
              <w:spacing w:after="0" w:line="240" w:lineRule="auto"/>
              <w:jc w:val="both"/>
              <w:rPr>
                <w:rFonts w:cs="Calibri"/>
                <w:u w:val="single"/>
                <w:lang w:val="nl-BE"/>
              </w:rPr>
            </w:pPr>
            <w:r w:rsidRPr="00614061">
              <w:rPr>
                <w:rFonts w:cs="Calibri"/>
                <w:lang w:val="nl-BE"/>
              </w:rPr>
              <w:t>Naar analogie met artikel 7:104 wordt ervoor geopteerd om belangenconflicten op het niveau van de raad van toezicht te laten beslissen. Weliswaar zou deze regel, overeenkomstig de bij de inleiding uiteengezette systematiek, strikt genomen niet moeten worden herhaald. Deze kwestie is immers niet geregeld in verordening (EG) nr. 2157/2001, zodat boek 7 geldt. Gelet op de ingrijpende verschillen tussen het Belgische en het Europese duale bestuur is het aangewezen de bevoegdheid van de raad van toezicht uitdrukkelijk te bevestigen</w:t>
            </w:r>
            <w:r>
              <w:rPr>
                <w:rFonts w:cs="Calibri"/>
                <w:lang w:val="nl-BE"/>
              </w:rPr>
              <w:t>.</w:t>
            </w:r>
          </w:p>
        </w:tc>
        <w:tc>
          <w:tcPr>
            <w:tcW w:w="5812" w:type="dxa"/>
            <w:shd w:val="clear" w:color="auto" w:fill="auto"/>
          </w:tcPr>
          <w:p w14:paraId="41A3946D" w14:textId="77777777" w:rsidR="00B44C06" w:rsidRPr="00C16225" w:rsidRDefault="00B44C06" w:rsidP="00C16225">
            <w:pPr>
              <w:spacing w:after="0" w:line="240" w:lineRule="auto"/>
              <w:jc w:val="both"/>
              <w:rPr>
                <w:rFonts w:cs="Calibri"/>
                <w:u w:val="single"/>
                <w:lang w:val="fr-FR"/>
              </w:rPr>
            </w:pPr>
            <w:r w:rsidRPr="00614061">
              <w:rPr>
                <w:rFonts w:cs="Calibri"/>
                <w:lang w:val="fr-FR"/>
              </w:rPr>
              <w:t>Par analogie avec l’article </w:t>
            </w:r>
            <w:proofErr w:type="gramStart"/>
            <w:r w:rsidRPr="00614061">
              <w:rPr>
                <w:rFonts w:cs="Calibri"/>
                <w:lang w:val="fr-FR"/>
              </w:rPr>
              <w:t>7:</w:t>
            </w:r>
            <w:proofErr w:type="gramEnd"/>
            <w:r w:rsidRPr="00614061">
              <w:rPr>
                <w:rFonts w:cs="Calibri"/>
                <w:lang w:val="fr-FR"/>
              </w:rPr>
              <w:t>104, il a été décidé de laisser le conseil de surveillance se prononcer sur les conflits d’intérêts. Certes, cette règle ne devrait, au sens strict, pas être rappelée, conformément à la systématique exposée dans l’introduction. Cette question n’a effectivement pas été réglée dans le règlement (CE) n° 2157/2001, de sorte que le livre 7 s’applique. Vu les différences profondes entre l’administration duale belge et européenne, il est indiqué de confirmer explicitement la compétence du conseil de surveillance</w:t>
            </w:r>
            <w:r>
              <w:rPr>
                <w:rFonts w:cs="Calibri"/>
                <w:lang w:val="fr-FR"/>
              </w:rPr>
              <w:t>.</w:t>
            </w:r>
          </w:p>
        </w:tc>
      </w:tr>
      <w:tr w:rsidR="00B44C06" w:rsidRPr="007B0F35" w14:paraId="2D15209E" w14:textId="77777777" w:rsidTr="008612B1">
        <w:trPr>
          <w:trHeight w:val="387"/>
        </w:trPr>
        <w:tc>
          <w:tcPr>
            <w:tcW w:w="2122" w:type="dxa"/>
          </w:tcPr>
          <w:p w14:paraId="0342708D" w14:textId="77777777" w:rsidR="00B44C06" w:rsidRPr="00442FA9" w:rsidRDefault="00B44C06" w:rsidP="00C16225">
            <w:pPr>
              <w:spacing w:after="0"/>
            </w:pPr>
            <w:proofErr w:type="spellStart"/>
            <w:r>
              <w:t>RvSt</w:t>
            </w:r>
            <w:proofErr w:type="spellEnd"/>
          </w:p>
        </w:tc>
        <w:tc>
          <w:tcPr>
            <w:tcW w:w="6047" w:type="dxa"/>
            <w:shd w:val="clear" w:color="auto" w:fill="auto"/>
          </w:tcPr>
          <w:p w14:paraId="26E49197" w14:textId="77777777" w:rsidR="00B44C06" w:rsidRPr="00442FA9" w:rsidRDefault="00B44C06" w:rsidP="00C16225">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9B20276" w14:textId="77777777" w:rsidR="00B44C06" w:rsidRPr="00442FA9" w:rsidRDefault="00B44C06" w:rsidP="00C16225">
            <w:pPr>
              <w:spacing w:after="0"/>
            </w:pPr>
            <w:r>
              <w:t xml:space="preserve">Pas de </w:t>
            </w:r>
            <w:proofErr w:type="spellStart"/>
            <w:r>
              <w:t>remarques</w:t>
            </w:r>
            <w:proofErr w:type="spellEnd"/>
            <w:r>
              <w:t>.</w:t>
            </w:r>
          </w:p>
        </w:tc>
      </w:tr>
      <w:tr w:rsidR="00B44C06" w:rsidRPr="008612B1" w14:paraId="554CB824" w14:textId="77777777" w:rsidTr="008612B1">
        <w:trPr>
          <w:trHeight w:val="274"/>
        </w:trPr>
        <w:tc>
          <w:tcPr>
            <w:tcW w:w="2122" w:type="dxa"/>
          </w:tcPr>
          <w:p w14:paraId="1E910645" w14:textId="77777777" w:rsidR="00B44C06" w:rsidRDefault="00B44C06" w:rsidP="00C16225">
            <w:pPr>
              <w:spacing w:after="0"/>
            </w:pPr>
            <w:proofErr w:type="spellStart"/>
            <w:r>
              <w:t>RvSt</w:t>
            </w:r>
            <w:proofErr w:type="spellEnd"/>
            <w:r>
              <w:t xml:space="preserve"> 2</w:t>
            </w:r>
          </w:p>
        </w:tc>
        <w:tc>
          <w:tcPr>
            <w:tcW w:w="6047" w:type="dxa"/>
            <w:shd w:val="clear" w:color="auto" w:fill="auto"/>
          </w:tcPr>
          <w:p w14:paraId="3CAA59BC" w14:textId="77777777" w:rsidR="00B44C06" w:rsidRPr="001E604E" w:rsidRDefault="00B44C06" w:rsidP="00C16225">
            <w:pPr>
              <w:spacing w:after="0" w:line="240" w:lineRule="auto"/>
              <w:jc w:val="both"/>
              <w:rPr>
                <w:lang w:val="nl-BE"/>
              </w:rPr>
            </w:pPr>
            <w:r w:rsidRPr="00B148CC">
              <w:rPr>
                <w:rFonts w:cstheme="minorHAnsi"/>
                <w:szCs w:val="18"/>
                <w:lang w:val="nl-BE"/>
              </w:rPr>
              <w:t>De verwijzing naar de artikelen 7:103 en 7:104 is verkeerd. Dezelfde opmerking geldt voor het voorgestelde artikel 16:18, eerste en tweede lid.</w:t>
            </w:r>
          </w:p>
        </w:tc>
        <w:tc>
          <w:tcPr>
            <w:tcW w:w="5812" w:type="dxa"/>
            <w:shd w:val="clear" w:color="auto" w:fill="auto"/>
          </w:tcPr>
          <w:p w14:paraId="6E4164E0" w14:textId="77777777" w:rsidR="00B44C06" w:rsidRPr="00B148CC" w:rsidRDefault="00B44C06" w:rsidP="00C16225">
            <w:pPr>
              <w:spacing w:after="0" w:line="240" w:lineRule="auto"/>
              <w:jc w:val="both"/>
              <w:rPr>
                <w:lang w:val="fr-BE"/>
              </w:rPr>
            </w:pPr>
            <w:r w:rsidRPr="00B148CC">
              <w:rPr>
                <w:lang w:val="fr-BE"/>
              </w:rPr>
              <w:t xml:space="preserve">La référence aux articles 7:103 et 7:104 est erronée. </w:t>
            </w:r>
          </w:p>
          <w:p w14:paraId="5DC7CE93" w14:textId="77777777" w:rsidR="00B44C06" w:rsidRPr="001E604E" w:rsidRDefault="00B44C06" w:rsidP="00C16225">
            <w:pPr>
              <w:spacing w:after="0" w:line="240" w:lineRule="auto"/>
              <w:jc w:val="both"/>
              <w:rPr>
                <w:lang w:val="fr-FR"/>
              </w:rPr>
            </w:pPr>
            <w:r w:rsidRPr="00B148CC">
              <w:rPr>
                <w:lang w:val="fr-BE"/>
              </w:rPr>
              <w:t>La même observation vaut pour l’article 16:18, alinéas 1</w:t>
            </w:r>
            <w:r w:rsidRPr="00B148CC">
              <w:rPr>
                <w:vertAlign w:val="superscript"/>
                <w:lang w:val="fr-BE"/>
              </w:rPr>
              <w:t>er</w:t>
            </w:r>
            <w:r w:rsidRPr="00B148CC">
              <w:rPr>
                <w:lang w:val="fr-BE"/>
              </w:rPr>
              <w:t xml:space="preserve"> et 2, proposé.</w:t>
            </w:r>
          </w:p>
        </w:tc>
      </w:tr>
      <w:tr w:rsidR="00B44C06" w:rsidRPr="008612B1" w14:paraId="1A8A6E87" w14:textId="77777777" w:rsidTr="008612B1">
        <w:trPr>
          <w:trHeight w:val="274"/>
        </w:trPr>
        <w:tc>
          <w:tcPr>
            <w:tcW w:w="2122" w:type="dxa"/>
          </w:tcPr>
          <w:p w14:paraId="7B4115A4" w14:textId="77777777" w:rsidR="00B44C06" w:rsidRDefault="00B44C06" w:rsidP="00F20183">
            <w:pPr>
              <w:pStyle w:val="Kop1"/>
            </w:pPr>
            <w:bookmarkStart w:id="1" w:name="_Amendement_299"/>
            <w:bookmarkStart w:id="2" w:name="_Amendement_299_1"/>
            <w:bookmarkEnd w:id="1"/>
            <w:bookmarkEnd w:id="2"/>
            <w:proofErr w:type="spellStart"/>
            <w:r>
              <w:t>Amendement</w:t>
            </w:r>
            <w:proofErr w:type="spellEnd"/>
            <w:r>
              <w:t xml:space="preserve"> 299</w:t>
            </w:r>
          </w:p>
        </w:tc>
        <w:tc>
          <w:tcPr>
            <w:tcW w:w="6047" w:type="dxa"/>
            <w:shd w:val="clear" w:color="auto" w:fill="auto"/>
          </w:tcPr>
          <w:p w14:paraId="0AE8293F" w14:textId="77777777" w:rsidR="00B44C06" w:rsidRPr="001E604E" w:rsidRDefault="00B44C06" w:rsidP="00C16225">
            <w:pPr>
              <w:autoSpaceDE w:val="0"/>
              <w:autoSpaceDN w:val="0"/>
              <w:adjustRightInd w:val="0"/>
              <w:spacing w:after="0" w:line="240" w:lineRule="auto"/>
              <w:jc w:val="both"/>
              <w:rPr>
                <w:rFonts w:cstheme="minorHAnsi"/>
                <w:szCs w:val="18"/>
                <w:lang w:val="nl-BE"/>
              </w:rPr>
            </w:pPr>
            <w:r w:rsidRPr="001E604E">
              <w:rPr>
                <w:rFonts w:cstheme="minorHAnsi"/>
                <w:szCs w:val="18"/>
                <w:lang w:val="nl-BE"/>
              </w:rPr>
              <w:t>Subamendement op het amendement 1</w:t>
            </w:r>
          </w:p>
          <w:p w14:paraId="07830253" w14:textId="77777777" w:rsidR="00B44C06" w:rsidRPr="001E604E" w:rsidRDefault="00B44C06" w:rsidP="00C16225">
            <w:pPr>
              <w:autoSpaceDE w:val="0"/>
              <w:autoSpaceDN w:val="0"/>
              <w:adjustRightInd w:val="0"/>
              <w:spacing w:after="0" w:line="240" w:lineRule="auto"/>
              <w:jc w:val="both"/>
              <w:rPr>
                <w:rFonts w:cstheme="minorHAnsi"/>
                <w:szCs w:val="18"/>
                <w:lang w:val="nl-BE"/>
              </w:rPr>
            </w:pPr>
          </w:p>
          <w:p w14:paraId="47FCD29D" w14:textId="77777777" w:rsidR="00B44C06" w:rsidRPr="001E604E" w:rsidRDefault="00B44C06" w:rsidP="00C16225">
            <w:pPr>
              <w:autoSpaceDE w:val="0"/>
              <w:autoSpaceDN w:val="0"/>
              <w:adjustRightInd w:val="0"/>
              <w:spacing w:after="0" w:line="240" w:lineRule="auto"/>
              <w:jc w:val="both"/>
              <w:rPr>
                <w:rFonts w:cstheme="minorHAnsi"/>
                <w:szCs w:val="18"/>
                <w:lang w:val="nl-BE"/>
              </w:rPr>
            </w:pPr>
            <w:r w:rsidRPr="00B148CC">
              <w:rPr>
                <w:rFonts w:cstheme="minorHAnsi"/>
                <w:szCs w:val="18"/>
                <w:lang w:val="nl-BE"/>
              </w:rPr>
              <w:t>In het voorgesteld</w:t>
            </w:r>
            <w:r>
              <w:rPr>
                <w:rFonts w:cstheme="minorHAnsi"/>
                <w:szCs w:val="18"/>
                <w:lang w:val="nl-BE"/>
              </w:rPr>
              <w:t xml:space="preserve">e artikel 15:21, de woorden “in </w:t>
            </w:r>
            <w:r w:rsidRPr="00B148CC">
              <w:rPr>
                <w:rFonts w:cstheme="minorHAnsi"/>
                <w:szCs w:val="18"/>
                <w:lang w:val="nl-BE"/>
              </w:rPr>
              <w:t>artikel 7:103 of als bedoeld in artikel 7:104” vervangen</w:t>
            </w:r>
            <w:r>
              <w:rPr>
                <w:rFonts w:cstheme="minorHAnsi"/>
                <w:szCs w:val="18"/>
                <w:lang w:val="nl-BE"/>
              </w:rPr>
              <w:t xml:space="preserve"> </w:t>
            </w:r>
            <w:r w:rsidRPr="00B148CC">
              <w:rPr>
                <w:rFonts w:cstheme="minorHAnsi"/>
                <w:szCs w:val="18"/>
                <w:lang w:val="nl-BE"/>
              </w:rPr>
              <w:t>door de woorden “in artikel 7:115 of als bedoeld in</w:t>
            </w:r>
            <w:r>
              <w:rPr>
                <w:rFonts w:cstheme="minorHAnsi"/>
                <w:szCs w:val="18"/>
                <w:lang w:val="nl-BE"/>
              </w:rPr>
              <w:t xml:space="preserve"> </w:t>
            </w:r>
            <w:r w:rsidRPr="001E604E">
              <w:rPr>
                <w:rFonts w:cstheme="minorHAnsi"/>
                <w:szCs w:val="18"/>
                <w:lang w:val="nl-BE"/>
              </w:rPr>
              <w:t>artikel 7:116”.</w:t>
            </w:r>
          </w:p>
          <w:p w14:paraId="4928AE2C" w14:textId="77777777" w:rsidR="00B44C06" w:rsidRPr="001E604E" w:rsidRDefault="00B44C06" w:rsidP="00C16225">
            <w:pPr>
              <w:autoSpaceDE w:val="0"/>
              <w:autoSpaceDN w:val="0"/>
              <w:adjustRightInd w:val="0"/>
              <w:spacing w:after="0" w:line="240" w:lineRule="auto"/>
              <w:jc w:val="both"/>
              <w:rPr>
                <w:rFonts w:cstheme="minorHAnsi"/>
                <w:szCs w:val="18"/>
                <w:lang w:val="nl-BE"/>
              </w:rPr>
            </w:pPr>
          </w:p>
          <w:p w14:paraId="38AE9F5B" w14:textId="77777777" w:rsidR="00B44C06" w:rsidRPr="001E604E" w:rsidRDefault="00B44C06" w:rsidP="00C16225">
            <w:pPr>
              <w:autoSpaceDE w:val="0"/>
              <w:autoSpaceDN w:val="0"/>
              <w:adjustRightInd w:val="0"/>
              <w:spacing w:after="0" w:line="240" w:lineRule="auto"/>
              <w:jc w:val="both"/>
              <w:rPr>
                <w:rFonts w:cstheme="minorHAnsi"/>
                <w:szCs w:val="18"/>
                <w:lang w:val="nl-BE"/>
              </w:rPr>
            </w:pPr>
            <w:r w:rsidRPr="001E604E">
              <w:rPr>
                <w:rFonts w:cstheme="minorHAnsi"/>
                <w:szCs w:val="18"/>
                <w:lang w:val="nl-BE"/>
              </w:rPr>
              <w:t>VERANTWOORDING</w:t>
            </w:r>
          </w:p>
          <w:p w14:paraId="1E2449F1" w14:textId="77777777" w:rsidR="00B44C06" w:rsidRDefault="00B44C06" w:rsidP="00C16225">
            <w:pPr>
              <w:autoSpaceDE w:val="0"/>
              <w:autoSpaceDN w:val="0"/>
              <w:adjustRightInd w:val="0"/>
              <w:spacing w:after="0" w:line="240" w:lineRule="auto"/>
              <w:jc w:val="both"/>
              <w:rPr>
                <w:rFonts w:cstheme="minorHAnsi"/>
                <w:szCs w:val="18"/>
                <w:lang w:val="nl-BE"/>
              </w:rPr>
            </w:pPr>
          </w:p>
          <w:p w14:paraId="71355AE5" w14:textId="77777777" w:rsidR="00B44C06" w:rsidRPr="00B148CC" w:rsidRDefault="00B44C06" w:rsidP="00C16225">
            <w:pPr>
              <w:autoSpaceDE w:val="0"/>
              <w:autoSpaceDN w:val="0"/>
              <w:adjustRightInd w:val="0"/>
              <w:spacing w:after="0" w:line="240" w:lineRule="auto"/>
              <w:jc w:val="both"/>
              <w:rPr>
                <w:rFonts w:cstheme="minorHAnsi"/>
                <w:szCs w:val="18"/>
                <w:lang w:val="nl-BE"/>
              </w:rPr>
            </w:pPr>
            <w:r w:rsidRPr="00B148CC">
              <w:rPr>
                <w:rFonts w:cstheme="minorHAnsi"/>
                <w:szCs w:val="18"/>
                <w:lang w:val="nl-BE"/>
              </w:rPr>
              <w:t>Dit amendement corrigeert een materiële vergissing</w:t>
            </w:r>
          </w:p>
        </w:tc>
        <w:tc>
          <w:tcPr>
            <w:tcW w:w="5812" w:type="dxa"/>
            <w:shd w:val="clear" w:color="auto" w:fill="auto"/>
          </w:tcPr>
          <w:p w14:paraId="26ECF3CF" w14:textId="77777777" w:rsidR="00B44C06" w:rsidRDefault="00B44C06" w:rsidP="00C16225">
            <w:pPr>
              <w:spacing w:after="0" w:line="240" w:lineRule="auto"/>
              <w:jc w:val="both"/>
              <w:rPr>
                <w:lang w:val="fr-BE"/>
              </w:rPr>
            </w:pPr>
            <w:r w:rsidRPr="00B148CC">
              <w:rPr>
                <w:lang w:val="fr-BE"/>
              </w:rPr>
              <w:t>Sous-amendement à amendement 1</w:t>
            </w:r>
          </w:p>
          <w:p w14:paraId="6B522656" w14:textId="77777777" w:rsidR="00B44C06" w:rsidRDefault="00B44C06" w:rsidP="00C16225">
            <w:pPr>
              <w:spacing w:after="0" w:line="240" w:lineRule="auto"/>
              <w:jc w:val="both"/>
              <w:rPr>
                <w:lang w:val="fr-BE"/>
              </w:rPr>
            </w:pPr>
          </w:p>
          <w:p w14:paraId="49959EC9" w14:textId="77777777" w:rsidR="00B44C06" w:rsidRPr="00B148CC" w:rsidRDefault="00B44C06" w:rsidP="00C16225">
            <w:pPr>
              <w:spacing w:after="0" w:line="240" w:lineRule="auto"/>
              <w:jc w:val="both"/>
              <w:rPr>
                <w:lang w:val="fr-BE"/>
              </w:rPr>
            </w:pPr>
            <w:r w:rsidRPr="00B148CC">
              <w:rPr>
                <w:lang w:val="fr-BE"/>
              </w:rPr>
              <w:t>Dans l’article 15:</w:t>
            </w:r>
            <w:r>
              <w:rPr>
                <w:lang w:val="fr-BE"/>
              </w:rPr>
              <w:t xml:space="preserve">21, proposé, remplacer les mots </w:t>
            </w:r>
            <w:r w:rsidRPr="00B148CC">
              <w:rPr>
                <w:lang w:val="fr-BE"/>
              </w:rPr>
              <w:t>“l’article 7:103 ou à l’article</w:t>
            </w:r>
            <w:r>
              <w:rPr>
                <w:lang w:val="fr-BE"/>
              </w:rPr>
              <w:t xml:space="preserve"> 7:104” par les mots “l’article </w:t>
            </w:r>
            <w:r w:rsidRPr="00B148CC">
              <w:rPr>
                <w:lang w:val="fr-BE"/>
              </w:rPr>
              <w:t>7:115 ou à l’article 7:116”.</w:t>
            </w:r>
          </w:p>
          <w:p w14:paraId="0BF97471" w14:textId="77777777" w:rsidR="00B44C06" w:rsidRDefault="00B44C06" w:rsidP="00C16225">
            <w:pPr>
              <w:spacing w:after="0" w:line="240" w:lineRule="auto"/>
              <w:jc w:val="both"/>
              <w:rPr>
                <w:lang w:val="fr-BE"/>
              </w:rPr>
            </w:pPr>
          </w:p>
          <w:p w14:paraId="7BF4CA58" w14:textId="77777777" w:rsidR="00B44C06" w:rsidRPr="00B148CC" w:rsidRDefault="00B44C06" w:rsidP="00C16225">
            <w:pPr>
              <w:spacing w:after="0" w:line="240" w:lineRule="auto"/>
              <w:jc w:val="both"/>
              <w:rPr>
                <w:lang w:val="fr-BE"/>
              </w:rPr>
            </w:pPr>
            <w:r w:rsidRPr="00B148CC">
              <w:rPr>
                <w:lang w:val="fr-BE"/>
              </w:rPr>
              <w:t>JUSTIFICATION</w:t>
            </w:r>
          </w:p>
          <w:p w14:paraId="7903941E" w14:textId="77777777" w:rsidR="00B44C06" w:rsidRDefault="00B44C06" w:rsidP="00C16225">
            <w:pPr>
              <w:spacing w:after="0" w:line="240" w:lineRule="auto"/>
              <w:jc w:val="both"/>
              <w:rPr>
                <w:lang w:val="fr-BE"/>
              </w:rPr>
            </w:pPr>
          </w:p>
          <w:p w14:paraId="1956305F" w14:textId="77777777" w:rsidR="00B44C06" w:rsidRPr="00B148CC" w:rsidRDefault="00B44C06" w:rsidP="00C16225">
            <w:pPr>
              <w:spacing w:after="0" w:line="240" w:lineRule="auto"/>
              <w:jc w:val="both"/>
              <w:rPr>
                <w:lang w:val="fr-BE"/>
              </w:rPr>
            </w:pPr>
            <w:r w:rsidRPr="00B148CC">
              <w:rPr>
                <w:lang w:val="fr-BE"/>
              </w:rPr>
              <w:t>Cet amendement a pour objet de corriger une erreur</w:t>
            </w:r>
            <w:r>
              <w:rPr>
                <w:lang w:val="fr-BE"/>
              </w:rPr>
              <w:t xml:space="preserve"> </w:t>
            </w:r>
            <w:r w:rsidRPr="00B148CC">
              <w:rPr>
                <w:lang w:val="fr-BE"/>
              </w:rPr>
              <w:t>matérielle.</w:t>
            </w:r>
          </w:p>
        </w:tc>
      </w:tr>
    </w:tbl>
    <w:p w14:paraId="4BBEE57E" w14:textId="77777777" w:rsidR="001203BA" w:rsidRPr="0047203B" w:rsidRDefault="001203BA" w:rsidP="001203BA">
      <w:pPr>
        <w:rPr>
          <w:lang w:val="fr-FR"/>
        </w:rPr>
      </w:pPr>
    </w:p>
    <w:p w14:paraId="7576F24E"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E0B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441DE"/>
    <w:rsid w:val="00071562"/>
    <w:rsid w:val="000B17B4"/>
    <w:rsid w:val="000D6EAF"/>
    <w:rsid w:val="000E14C5"/>
    <w:rsid w:val="000F28E4"/>
    <w:rsid w:val="00102D66"/>
    <w:rsid w:val="00104701"/>
    <w:rsid w:val="00111D98"/>
    <w:rsid w:val="001124BA"/>
    <w:rsid w:val="0011776E"/>
    <w:rsid w:val="001203BA"/>
    <w:rsid w:val="001274D6"/>
    <w:rsid w:val="00133831"/>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B753D"/>
    <w:rsid w:val="001C36B7"/>
    <w:rsid w:val="001D27E0"/>
    <w:rsid w:val="001D5AD6"/>
    <w:rsid w:val="001E604E"/>
    <w:rsid w:val="0021135B"/>
    <w:rsid w:val="00214ADA"/>
    <w:rsid w:val="00216A35"/>
    <w:rsid w:val="002337A0"/>
    <w:rsid w:val="00251BBF"/>
    <w:rsid w:val="00253930"/>
    <w:rsid w:val="002562D5"/>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533"/>
    <w:rsid w:val="00306738"/>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F24EE"/>
    <w:rsid w:val="003F6F60"/>
    <w:rsid w:val="00415C03"/>
    <w:rsid w:val="00423115"/>
    <w:rsid w:val="004334BF"/>
    <w:rsid w:val="00441E30"/>
    <w:rsid w:val="004443F2"/>
    <w:rsid w:val="004610CD"/>
    <w:rsid w:val="004637CE"/>
    <w:rsid w:val="0047203B"/>
    <w:rsid w:val="00492278"/>
    <w:rsid w:val="00492FE9"/>
    <w:rsid w:val="004A39E3"/>
    <w:rsid w:val="004C3052"/>
    <w:rsid w:val="004C63AD"/>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735D"/>
    <w:rsid w:val="006B2AA7"/>
    <w:rsid w:val="006C529C"/>
    <w:rsid w:val="006D501B"/>
    <w:rsid w:val="0070142C"/>
    <w:rsid w:val="00706549"/>
    <w:rsid w:val="00710A28"/>
    <w:rsid w:val="00710C81"/>
    <w:rsid w:val="00733FA9"/>
    <w:rsid w:val="00736D86"/>
    <w:rsid w:val="00741F2C"/>
    <w:rsid w:val="00741F55"/>
    <w:rsid w:val="007463B2"/>
    <w:rsid w:val="007524C0"/>
    <w:rsid w:val="007532BF"/>
    <w:rsid w:val="00792C53"/>
    <w:rsid w:val="007B0F35"/>
    <w:rsid w:val="007B17CA"/>
    <w:rsid w:val="007B581C"/>
    <w:rsid w:val="007D7A6B"/>
    <w:rsid w:val="00800A45"/>
    <w:rsid w:val="00800EA8"/>
    <w:rsid w:val="008059B6"/>
    <w:rsid w:val="00817408"/>
    <w:rsid w:val="00817848"/>
    <w:rsid w:val="00833A2D"/>
    <w:rsid w:val="008423F9"/>
    <w:rsid w:val="00842D8E"/>
    <w:rsid w:val="00853C03"/>
    <w:rsid w:val="008612B1"/>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A4260"/>
    <w:rsid w:val="009B3BE6"/>
    <w:rsid w:val="009C0DC9"/>
    <w:rsid w:val="009D0B3E"/>
    <w:rsid w:val="009F648C"/>
    <w:rsid w:val="009F7906"/>
    <w:rsid w:val="00A0074A"/>
    <w:rsid w:val="00A01EFB"/>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8CC"/>
    <w:rsid w:val="00B14FC3"/>
    <w:rsid w:val="00B15F17"/>
    <w:rsid w:val="00B41CE6"/>
    <w:rsid w:val="00B43558"/>
    <w:rsid w:val="00B44890"/>
    <w:rsid w:val="00B44C06"/>
    <w:rsid w:val="00B50606"/>
    <w:rsid w:val="00B61E27"/>
    <w:rsid w:val="00B6333A"/>
    <w:rsid w:val="00B779CF"/>
    <w:rsid w:val="00B9723E"/>
    <w:rsid w:val="00B97CC3"/>
    <w:rsid w:val="00BA0E76"/>
    <w:rsid w:val="00BA1659"/>
    <w:rsid w:val="00BA26D2"/>
    <w:rsid w:val="00BB376A"/>
    <w:rsid w:val="00BD2DC6"/>
    <w:rsid w:val="00BE2349"/>
    <w:rsid w:val="00BF1861"/>
    <w:rsid w:val="00C01CC2"/>
    <w:rsid w:val="00C01CFA"/>
    <w:rsid w:val="00C12A40"/>
    <w:rsid w:val="00C16225"/>
    <w:rsid w:val="00C162B3"/>
    <w:rsid w:val="00C166D1"/>
    <w:rsid w:val="00C1753D"/>
    <w:rsid w:val="00C4014C"/>
    <w:rsid w:val="00C47A8C"/>
    <w:rsid w:val="00C80883"/>
    <w:rsid w:val="00C80921"/>
    <w:rsid w:val="00C86467"/>
    <w:rsid w:val="00C86CC5"/>
    <w:rsid w:val="00C91A38"/>
    <w:rsid w:val="00CA1557"/>
    <w:rsid w:val="00CA5454"/>
    <w:rsid w:val="00CB08CB"/>
    <w:rsid w:val="00CB210A"/>
    <w:rsid w:val="00CC26B6"/>
    <w:rsid w:val="00CC6422"/>
    <w:rsid w:val="00D22227"/>
    <w:rsid w:val="00D42D9B"/>
    <w:rsid w:val="00D46773"/>
    <w:rsid w:val="00D66D82"/>
    <w:rsid w:val="00D751E3"/>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D6CD0"/>
    <w:rsid w:val="00EE17D3"/>
    <w:rsid w:val="00EE44AC"/>
    <w:rsid w:val="00F03C83"/>
    <w:rsid w:val="00F134E0"/>
    <w:rsid w:val="00F20183"/>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013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2018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F20183"/>
    <w:rPr>
      <w:rFonts w:eastAsiaTheme="majorEastAsia" w:cstheme="majorBidi"/>
      <w:color w:val="000000" w:themeColor="text1"/>
      <w:szCs w:val="32"/>
    </w:rPr>
  </w:style>
  <w:style w:type="character" w:styleId="Hyperlink">
    <w:name w:val="Hyperlink"/>
    <w:basedOn w:val="Standaardalinea-lettertype"/>
    <w:uiPriority w:val="99"/>
    <w:unhideWhenUsed/>
    <w:rsid w:val="00F20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2066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2019-11-08T10:11:00Z</dcterms:created>
  <dcterms:modified xsi:type="dcterms:W3CDTF">2022-02-07T13:41:00Z</dcterms:modified>
</cp:coreProperties>
</file>