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764"/>
        <w:gridCol w:w="6095"/>
      </w:tblGrid>
      <w:tr w:rsidR="001203BA" w:rsidRPr="00534740" w14:paraId="1C2760D5" w14:textId="77777777" w:rsidTr="000D0890">
        <w:tc>
          <w:tcPr>
            <w:tcW w:w="2122" w:type="dxa"/>
          </w:tcPr>
          <w:p w14:paraId="410B4AA3" w14:textId="77777777" w:rsidR="001203BA" w:rsidRPr="00B07AC9" w:rsidRDefault="003E1F7C" w:rsidP="001258C3">
            <w:pPr>
              <w:rPr>
                <w:b/>
                <w:sz w:val="32"/>
                <w:szCs w:val="32"/>
                <w:lang w:val="nl-BE"/>
              </w:rPr>
            </w:pPr>
            <w:r>
              <w:rPr>
                <w:b/>
                <w:sz w:val="32"/>
                <w:szCs w:val="32"/>
                <w:lang w:val="nl-BE"/>
              </w:rPr>
              <w:t>ARTIKEL 15:23</w:t>
            </w:r>
          </w:p>
        </w:tc>
        <w:tc>
          <w:tcPr>
            <w:tcW w:w="11859" w:type="dxa"/>
            <w:gridSpan w:val="2"/>
            <w:shd w:val="clear" w:color="auto" w:fill="auto"/>
          </w:tcPr>
          <w:p w14:paraId="693B1F29" w14:textId="77777777" w:rsidR="001B29CB" w:rsidRPr="00817408" w:rsidRDefault="001B29CB" w:rsidP="001258C3">
            <w:pPr>
              <w:jc w:val="center"/>
              <w:rPr>
                <w:rFonts w:ascii="Cambria" w:eastAsia="Calibri" w:hAnsi="Cambria" w:cs="Times New Roman"/>
                <w:b/>
                <w:bCs/>
                <w:iCs/>
                <w:color w:val="4F81BD"/>
                <w:sz w:val="32"/>
                <w:szCs w:val="26"/>
                <w:lang w:val="nl-NL" w:eastAsia="fr-FR"/>
              </w:rPr>
            </w:pPr>
          </w:p>
        </w:tc>
      </w:tr>
      <w:tr w:rsidR="001203BA" w:rsidRPr="00534740" w14:paraId="64F6686B" w14:textId="77777777" w:rsidTr="000D0890">
        <w:tc>
          <w:tcPr>
            <w:tcW w:w="2122" w:type="dxa"/>
          </w:tcPr>
          <w:p w14:paraId="2DBA854D" w14:textId="77777777" w:rsidR="001203BA" w:rsidRPr="00B07AC9" w:rsidRDefault="001203BA" w:rsidP="001258C3">
            <w:pPr>
              <w:rPr>
                <w:b/>
                <w:sz w:val="32"/>
                <w:szCs w:val="32"/>
                <w:lang w:val="nl-BE"/>
              </w:rPr>
            </w:pPr>
          </w:p>
        </w:tc>
        <w:tc>
          <w:tcPr>
            <w:tcW w:w="11859" w:type="dxa"/>
            <w:gridSpan w:val="2"/>
            <w:shd w:val="clear" w:color="auto" w:fill="auto"/>
          </w:tcPr>
          <w:p w14:paraId="67989E1B" w14:textId="77777777" w:rsidR="001203BA" w:rsidRPr="007B17CA" w:rsidRDefault="001203BA" w:rsidP="001258C3">
            <w:pPr>
              <w:jc w:val="center"/>
              <w:rPr>
                <w:rFonts w:ascii="Cambria" w:eastAsia="Calibri" w:hAnsi="Cambria" w:cs="Times New Roman"/>
                <w:b/>
                <w:bCs/>
                <w:color w:val="4F81BD"/>
                <w:sz w:val="32"/>
                <w:szCs w:val="26"/>
                <w:lang w:val="nl-NL" w:eastAsia="fr-FR"/>
              </w:rPr>
            </w:pPr>
          </w:p>
        </w:tc>
      </w:tr>
      <w:tr w:rsidR="003E1F7C" w:rsidRPr="009E229C" w14:paraId="6EDAE8EA" w14:textId="77777777" w:rsidTr="000D0890">
        <w:trPr>
          <w:trHeight w:val="1067"/>
        </w:trPr>
        <w:tc>
          <w:tcPr>
            <w:tcW w:w="2122" w:type="dxa"/>
          </w:tcPr>
          <w:p w14:paraId="5C10BF50" w14:textId="77777777" w:rsidR="003E1F7C" w:rsidRDefault="003E1F7C" w:rsidP="001258C3">
            <w:pPr>
              <w:spacing w:after="0" w:line="240" w:lineRule="auto"/>
              <w:rPr>
                <w:rFonts w:cs="Calibri"/>
                <w:lang w:val="nl-BE"/>
              </w:rPr>
            </w:pPr>
            <w:r>
              <w:rPr>
                <w:rFonts w:cs="Calibri"/>
                <w:lang w:val="nl-BE"/>
              </w:rPr>
              <w:t>WVV</w:t>
            </w:r>
          </w:p>
        </w:tc>
        <w:tc>
          <w:tcPr>
            <w:tcW w:w="5764" w:type="dxa"/>
            <w:shd w:val="clear" w:color="auto" w:fill="auto"/>
          </w:tcPr>
          <w:p w14:paraId="0988563A" w14:textId="77777777" w:rsidR="003E1F7C" w:rsidRPr="00B73889" w:rsidRDefault="003E1F7C" w:rsidP="001258C3">
            <w:pPr>
              <w:spacing w:after="0" w:line="240" w:lineRule="auto"/>
              <w:jc w:val="both"/>
              <w:rPr>
                <w:rFonts w:cs="Calibri"/>
                <w:lang w:val="nl-BE"/>
              </w:rPr>
            </w:pPr>
            <w:r w:rsidRPr="00614061">
              <w:rPr>
                <w:rFonts w:cs="Calibri"/>
                <w:lang w:val="nl-BE"/>
              </w:rPr>
              <w:t>Op de gewone algemene vergadering beslist de algemene vergadering over de kwijting aan de leden van de raad van toezicht en aan de leden van de directieraad, ieder voor de hem toegewezen bevoegdheden</w:t>
            </w:r>
            <w:r>
              <w:rPr>
                <w:rFonts w:cs="Calibri"/>
                <w:lang w:val="nl-BE"/>
              </w:rPr>
              <w:t>.</w:t>
            </w:r>
          </w:p>
        </w:tc>
        <w:tc>
          <w:tcPr>
            <w:tcW w:w="6095" w:type="dxa"/>
            <w:shd w:val="clear" w:color="auto" w:fill="auto"/>
          </w:tcPr>
          <w:p w14:paraId="4E60B3B4" w14:textId="77777777" w:rsidR="003E1F7C" w:rsidRPr="003235BA" w:rsidRDefault="003E1F7C" w:rsidP="001258C3">
            <w:pPr>
              <w:spacing w:after="0" w:line="240" w:lineRule="auto"/>
              <w:jc w:val="both"/>
              <w:rPr>
                <w:rFonts w:cs="Calibri"/>
                <w:lang w:val="fr-FR"/>
              </w:rPr>
            </w:pPr>
            <w:r w:rsidRPr="00614061">
              <w:rPr>
                <w:rFonts w:cs="Calibri"/>
                <w:lang w:val="fr-BE"/>
              </w:rPr>
              <w:t>Lors de l’assemblée générale ordinaire, l’assemblée générale décide de la décharge des membres du conseil de surveillance et des membres du conseil de direction pour ce qui concerne les pouvoirs qui ont été conférés à chacun d’eux</w:t>
            </w:r>
            <w:r>
              <w:rPr>
                <w:rFonts w:cs="Calibri"/>
                <w:lang w:val="fr-BE"/>
              </w:rPr>
              <w:t>.</w:t>
            </w:r>
          </w:p>
        </w:tc>
      </w:tr>
      <w:tr w:rsidR="009E229C" w:rsidRPr="009E229C" w14:paraId="0B5FEDF9" w14:textId="77777777" w:rsidTr="009E229C">
        <w:trPr>
          <w:trHeight w:val="450"/>
        </w:trPr>
        <w:tc>
          <w:tcPr>
            <w:tcW w:w="2122" w:type="dxa"/>
          </w:tcPr>
          <w:p w14:paraId="5F2641C2" w14:textId="77777777" w:rsidR="009E229C" w:rsidRPr="00262092" w:rsidRDefault="009E229C" w:rsidP="00E9206C">
            <w:pPr>
              <w:spacing w:after="0"/>
            </w:pPr>
            <w:proofErr w:type="spellStart"/>
            <w:r w:rsidRPr="00262092">
              <w:t>Ontwerp</w:t>
            </w:r>
            <w:proofErr w:type="spellEnd"/>
          </w:p>
        </w:tc>
        <w:tc>
          <w:tcPr>
            <w:tcW w:w="5764" w:type="dxa"/>
            <w:shd w:val="clear" w:color="auto" w:fill="auto"/>
          </w:tcPr>
          <w:p w14:paraId="59B586EB" w14:textId="77777777" w:rsidR="009E229C" w:rsidRPr="00262092" w:rsidRDefault="009E229C" w:rsidP="00E9206C">
            <w:pPr>
              <w:spacing w:after="0" w:line="240" w:lineRule="auto"/>
              <w:jc w:val="both"/>
            </w:pPr>
            <w:proofErr w:type="spellStart"/>
            <w:r w:rsidRPr="00262092">
              <w:t>Geen</w:t>
            </w:r>
            <w:proofErr w:type="spellEnd"/>
            <w:r w:rsidRPr="00262092">
              <w:t xml:space="preserve"> </w:t>
            </w:r>
            <w:proofErr w:type="spellStart"/>
            <w:r w:rsidRPr="00262092">
              <w:t>artikel</w:t>
            </w:r>
            <w:proofErr w:type="spellEnd"/>
            <w:r>
              <w:t>.</w:t>
            </w:r>
          </w:p>
        </w:tc>
        <w:tc>
          <w:tcPr>
            <w:tcW w:w="6095" w:type="dxa"/>
            <w:shd w:val="clear" w:color="auto" w:fill="auto"/>
          </w:tcPr>
          <w:p w14:paraId="2405BE3D" w14:textId="77777777" w:rsidR="009E229C" w:rsidRDefault="009E229C" w:rsidP="00E9206C">
            <w:pPr>
              <w:spacing w:after="0" w:line="240" w:lineRule="auto"/>
              <w:jc w:val="both"/>
            </w:pPr>
            <w:r w:rsidRPr="00262092">
              <w:t xml:space="preserve">Pas </w:t>
            </w:r>
            <w:proofErr w:type="spellStart"/>
            <w:r w:rsidRPr="00262092">
              <w:t>d’article</w:t>
            </w:r>
            <w:proofErr w:type="spellEnd"/>
            <w:r>
              <w:t>.</w:t>
            </w:r>
          </w:p>
        </w:tc>
      </w:tr>
      <w:tr w:rsidR="009E229C" w:rsidRPr="00B8590C" w14:paraId="6E9F1C28" w14:textId="77777777" w:rsidTr="000D0890">
        <w:trPr>
          <w:trHeight w:val="422"/>
        </w:trPr>
        <w:tc>
          <w:tcPr>
            <w:tcW w:w="2122" w:type="dxa"/>
          </w:tcPr>
          <w:p w14:paraId="7A392BB1" w14:textId="77777777" w:rsidR="009E229C" w:rsidRPr="00B8590C" w:rsidRDefault="009E229C" w:rsidP="001258C3">
            <w:pPr>
              <w:spacing w:after="0" w:line="240" w:lineRule="auto"/>
              <w:rPr>
                <w:rFonts w:cs="Calibri"/>
                <w:lang w:val="fr-FR"/>
              </w:rPr>
            </w:pPr>
            <w:proofErr w:type="spellStart"/>
            <w:r>
              <w:rPr>
                <w:rFonts w:cs="Calibri"/>
                <w:lang w:val="fr-FR"/>
              </w:rPr>
              <w:t>Voorontwerp</w:t>
            </w:r>
            <w:proofErr w:type="spellEnd"/>
          </w:p>
        </w:tc>
        <w:tc>
          <w:tcPr>
            <w:tcW w:w="5764" w:type="dxa"/>
            <w:shd w:val="clear" w:color="auto" w:fill="auto"/>
          </w:tcPr>
          <w:p w14:paraId="7E4E1504" w14:textId="77777777" w:rsidR="009E229C" w:rsidRPr="00B8590C" w:rsidRDefault="009E229C" w:rsidP="001258C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6095" w:type="dxa"/>
            <w:shd w:val="clear" w:color="auto" w:fill="auto"/>
          </w:tcPr>
          <w:p w14:paraId="14893411" w14:textId="77777777" w:rsidR="009E229C" w:rsidRPr="00614061" w:rsidRDefault="009E229C" w:rsidP="001258C3">
            <w:pPr>
              <w:spacing w:after="0" w:line="240" w:lineRule="auto"/>
              <w:jc w:val="both"/>
              <w:rPr>
                <w:rFonts w:cs="Calibri"/>
                <w:lang w:val="fr-BE"/>
              </w:rPr>
            </w:pPr>
            <w:r>
              <w:rPr>
                <w:rFonts w:cs="Calibri"/>
                <w:lang w:val="fr-BE"/>
              </w:rPr>
              <w:t>Pas d’article.</w:t>
            </w:r>
          </w:p>
        </w:tc>
      </w:tr>
      <w:tr w:rsidR="009E229C" w:rsidRPr="000D0890" w14:paraId="060CD81E" w14:textId="77777777" w:rsidTr="000D0890">
        <w:trPr>
          <w:trHeight w:val="59"/>
        </w:trPr>
        <w:tc>
          <w:tcPr>
            <w:tcW w:w="2122" w:type="dxa"/>
          </w:tcPr>
          <w:p w14:paraId="69081C45" w14:textId="77777777" w:rsidR="009E229C" w:rsidRPr="00262092" w:rsidRDefault="009E229C" w:rsidP="001258C3">
            <w:pPr>
              <w:spacing w:after="0"/>
            </w:pPr>
            <w:bookmarkStart w:id="0" w:name="_GoBack"/>
            <w:bookmarkEnd w:id="0"/>
            <w:proofErr w:type="spellStart"/>
            <w:r>
              <w:t>MvT</w:t>
            </w:r>
            <w:proofErr w:type="spellEnd"/>
          </w:p>
        </w:tc>
        <w:tc>
          <w:tcPr>
            <w:tcW w:w="5764" w:type="dxa"/>
            <w:shd w:val="clear" w:color="auto" w:fill="auto"/>
          </w:tcPr>
          <w:p w14:paraId="77317913" w14:textId="77777777" w:rsidR="009E229C" w:rsidRPr="003235BA" w:rsidRDefault="009E229C" w:rsidP="001258C3">
            <w:pPr>
              <w:spacing w:after="0" w:line="240" w:lineRule="auto"/>
              <w:jc w:val="both"/>
              <w:rPr>
                <w:rFonts w:cs="Calibri"/>
                <w:u w:val="single"/>
                <w:lang w:val="nl-BE"/>
              </w:rPr>
            </w:pPr>
            <w:r w:rsidRPr="00614061">
              <w:rPr>
                <w:rFonts w:cs="Calibri"/>
                <w:lang w:val="nl-BE"/>
              </w:rPr>
              <w:t>Nu de leden van beide organen worden benoemd door de algemene vergadering, is het logisch dat ze ook beide rekenschap zijn verschuldigd zijn aan de algemene vergader</w:t>
            </w:r>
            <w:r>
              <w:rPr>
                <w:rFonts w:cs="Calibri"/>
                <w:lang w:val="nl-BE"/>
              </w:rPr>
              <w:t>ing.</w:t>
            </w:r>
          </w:p>
        </w:tc>
        <w:tc>
          <w:tcPr>
            <w:tcW w:w="6095" w:type="dxa"/>
            <w:shd w:val="clear" w:color="auto" w:fill="auto"/>
          </w:tcPr>
          <w:p w14:paraId="3FFED154" w14:textId="77777777" w:rsidR="009E229C" w:rsidRPr="003235BA" w:rsidRDefault="009E229C" w:rsidP="001258C3">
            <w:pPr>
              <w:spacing w:after="0" w:line="240" w:lineRule="auto"/>
              <w:jc w:val="both"/>
              <w:rPr>
                <w:lang w:val="fr-FR"/>
              </w:rPr>
            </w:pPr>
            <w:r w:rsidRPr="003235BA">
              <w:rPr>
                <w:lang w:val="fr-FR"/>
              </w:rPr>
              <w:t>Comme les membres des deux organes sont nommés par l’assemblée générale, il est logique qu’ils doivent également tous deux rendre des comptes à l’assemblée générale.</w:t>
            </w:r>
          </w:p>
          <w:p w14:paraId="2DB14E12" w14:textId="77777777" w:rsidR="009E229C" w:rsidRPr="003235BA" w:rsidRDefault="009E229C" w:rsidP="001258C3">
            <w:pPr>
              <w:spacing w:after="0" w:line="240" w:lineRule="auto"/>
              <w:jc w:val="both"/>
              <w:rPr>
                <w:lang w:val="fr-FR"/>
              </w:rPr>
            </w:pPr>
          </w:p>
        </w:tc>
      </w:tr>
      <w:tr w:rsidR="009E229C" w:rsidRPr="00B8590C" w14:paraId="487AE556" w14:textId="77777777" w:rsidTr="000D0890">
        <w:trPr>
          <w:trHeight w:val="371"/>
        </w:trPr>
        <w:tc>
          <w:tcPr>
            <w:tcW w:w="2122" w:type="dxa"/>
          </w:tcPr>
          <w:p w14:paraId="35CBA6A1" w14:textId="77777777" w:rsidR="009E229C" w:rsidRPr="00262092" w:rsidRDefault="009E229C" w:rsidP="001258C3">
            <w:pPr>
              <w:spacing w:after="0"/>
            </w:pPr>
            <w:proofErr w:type="spellStart"/>
            <w:r>
              <w:t>RvSt</w:t>
            </w:r>
            <w:proofErr w:type="spellEnd"/>
          </w:p>
        </w:tc>
        <w:tc>
          <w:tcPr>
            <w:tcW w:w="5764" w:type="dxa"/>
            <w:shd w:val="clear" w:color="auto" w:fill="auto"/>
          </w:tcPr>
          <w:p w14:paraId="60C43D03" w14:textId="77777777" w:rsidR="009E229C" w:rsidRPr="00262092" w:rsidRDefault="009E229C" w:rsidP="001258C3">
            <w:pPr>
              <w:spacing w:after="0" w:line="240" w:lineRule="auto"/>
              <w:jc w:val="both"/>
            </w:pPr>
            <w:proofErr w:type="spellStart"/>
            <w:r>
              <w:t>Geen</w:t>
            </w:r>
            <w:proofErr w:type="spellEnd"/>
            <w:r>
              <w:t xml:space="preserve"> </w:t>
            </w:r>
            <w:proofErr w:type="spellStart"/>
            <w:r>
              <w:t>opmerkingen</w:t>
            </w:r>
            <w:proofErr w:type="spellEnd"/>
            <w:r>
              <w:t>.</w:t>
            </w:r>
          </w:p>
        </w:tc>
        <w:tc>
          <w:tcPr>
            <w:tcW w:w="6095" w:type="dxa"/>
            <w:shd w:val="clear" w:color="auto" w:fill="auto"/>
          </w:tcPr>
          <w:p w14:paraId="636583B7" w14:textId="77777777" w:rsidR="009E229C" w:rsidRPr="00262092" w:rsidRDefault="009E229C" w:rsidP="001258C3">
            <w:pPr>
              <w:spacing w:after="0" w:line="240" w:lineRule="auto"/>
              <w:jc w:val="both"/>
            </w:pPr>
            <w:r>
              <w:t xml:space="preserve">Pas de </w:t>
            </w:r>
            <w:proofErr w:type="spellStart"/>
            <w:r>
              <w:t>remarques</w:t>
            </w:r>
            <w:proofErr w:type="spellEnd"/>
            <w:r>
              <w:t>.</w:t>
            </w:r>
          </w:p>
        </w:tc>
      </w:tr>
    </w:tbl>
    <w:p w14:paraId="2DBCF6A0" w14:textId="77777777" w:rsidR="001203BA" w:rsidRPr="0047203B" w:rsidRDefault="001203BA" w:rsidP="001203BA">
      <w:pPr>
        <w:rPr>
          <w:lang w:val="fr-FR"/>
        </w:rPr>
      </w:pPr>
    </w:p>
    <w:p w14:paraId="454E1E8F"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441DE"/>
    <w:rsid w:val="00071562"/>
    <w:rsid w:val="000B17B4"/>
    <w:rsid w:val="000D0890"/>
    <w:rsid w:val="000D6EAF"/>
    <w:rsid w:val="000E14C5"/>
    <w:rsid w:val="000F28E4"/>
    <w:rsid w:val="00102D66"/>
    <w:rsid w:val="00104701"/>
    <w:rsid w:val="00111D98"/>
    <w:rsid w:val="001124BA"/>
    <w:rsid w:val="0011776E"/>
    <w:rsid w:val="001203BA"/>
    <w:rsid w:val="001258C3"/>
    <w:rsid w:val="001274D6"/>
    <w:rsid w:val="00133831"/>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49B2"/>
    <w:rsid w:val="00214ADA"/>
    <w:rsid w:val="00216A35"/>
    <w:rsid w:val="002337A0"/>
    <w:rsid w:val="00251BBF"/>
    <w:rsid w:val="00253930"/>
    <w:rsid w:val="002562D5"/>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533"/>
    <w:rsid w:val="00306738"/>
    <w:rsid w:val="003235BA"/>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15C03"/>
    <w:rsid w:val="00423115"/>
    <w:rsid w:val="004334BF"/>
    <w:rsid w:val="00441E30"/>
    <w:rsid w:val="004443F2"/>
    <w:rsid w:val="004610CD"/>
    <w:rsid w:val="004637CE"/>
    <w:rsid w:val="0047203B"/>
    <w:rsid w:val="00492278"/>
    <w:rsid w:val="00492FE9"/>
    <w:rsid w:val="004A39E3"/>
    <w:rsid w:val="004C0845"/>
    <w:rsid w:val="004C3052"/>
    <w:rsid w:val="004C63AD"/>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735D"/>
    <w:rsid w:val="006B2AA7"/>
    <w:rsid w:val="006C529C"/>
    <w:rsid w:val="006D501B"/>
    <w:rsid w:val="0070142C"/>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A4260"/>
    <w:rsid w:val="009B3BE6"/>
    <w:rsid w:val="009C0DC9"/>
    <w:rsid w:val="009D0B3E"/>
    <w:rsid w:val="009E229C"/>
    <w:rsid w:val="009F648C"/>
    <w:rsid w:val="009F7906"/>
    <w:rsid w:val="00A0074A"/>
    <w:rsid w:val="00A01EFB"/>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41CE6"/>
    <w:rsid w:val="00B43558"/>
    <w:rsid w:val="00B44890"/>
    <w:rsid w:val="00B50606"/>
    <w:rsid w:val="00B61E27"/>
    <w:rsid w:val="00B6333A"/>
    <w:rsid w:val="00B779CF"/>
    <w:rsid w:val="00B8590C"/>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72E4C"/>
    <w:rsid w:val="00C80883"/>
    <w:rsid w:val="00C80921"/>
    <w:rsid w:val="00C86467"/>
    <w:rsid w:val="00C86CC5"/>
    <w:rsid w:val="00C91A38"/>
    <w:rsid w:val="00CA1557"/>
    <w:rsid w:val="00CA5454"/>
    <w:rsid w:val="00CB08CB"/>
    <w:rsid w:val="00CB210A"/>
    <w:rsid w:val="00CB6FFB"/>
    <w:rsid w:val="00CC6422"/>
    <w:rsid w:val="00D22227"/>
    <w:rsid w:val="00D42D9B"/>
    <w:rsid w:val="00D46773"/>
    <w:rsid w:val="00D66D82"/>
    <w:rsid w:val="00D751E3"/>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BA9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781</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2019-11-08T10:13:00Z</dcterms:created>
  <dcterms:modified xsi:type="dcterms:W3CDTF">2022-02-07T13:44:00Z</dcterms:modified>
</cp:coreProperties>
</file>