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670"/>
        <w:gridCol w:w="283"/>
      </w:tblGrid>
      <w:tr w:rsidR="001203BA" w:rsidRPr="00AA5F25" w14:paraId="5240D228" w14:textId="77777777" w:rsidTr="00162143">
        <w:tc>
          <w:tcPr>
            <w:tcW w:w="13698" w:type="dxa"/>
            <w:gridSpan w:val="3"/>
          </w:tcPr>
          <w:p w14:paraId="5AAF2753" w14:textId="77777777" w:rsidR="001203BA" w:rsidRPr="00B07AC9" w:rsidRDefault="004B0827" w:rsidP="004C5F2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5. – J</w:t>
            </w:r>
            <w:r w:rsidR="00922794" w:rsidRPr="00922794">
              <w:rPr>
                <w:b/>
                <w:sz w:val="32"/>
                <w:szCs w:val="32"/>
                <w:lang w:val="nl-BE"/>
              </w:rPr>
              <w:t>aarrekening en geconsolideerde jaarrekening, en controle hierop - Specifieke bepalingen van toepassing op het duale bestuur.</w:t>
            </w:r>
          </w:p>
        </w:tc>
        <w:tc>
          <w:tcPr>
            <w:tcW w:w="283" w:type="dxa"/>
            <w:shd w:val="clear" w:color="auto" w:fill="auto"/>
          </w:tcPr>
          <w:p w14:paraId="0C848075" w14:textId="77777777" w:rsidR="001B29CB" w:rsidRPr="00DD79BB" w:rsidRDefault="001B29CB" w:rsidP="004C5F22">
            <w:pPr>
              <w:spacing w:line="240" w:lineRule="auto"/>
              <w:outlineLvl w:val="0"/>
              <w:rPr>
                <w:rFonts w:ascii="Cambria" w:eastAsia="Calibri" w:hAnsi="Cambria"/>
                <w:i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534740" w14:paraId="086ABB86" w14:textId="77777777" w:rsidTr="00162143">
        <w:tc>
          <w:tcPr>
            <w:tcW w:w="2122" w:type="dxa"/>
          </w:tcPr>
          <w:p w14:paraId="1BCB3794" w14:textId="77777777" w:rsidR="001203BA" w:rsidRPr="00B07AC9" w:rsidRDefault="00133FDD" w:rsidP="004C5F2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15:29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5E1FE395" w14:textId="77777777" w:rsidR="001203BA" w:rsidRPr="007B17CA" w:rsidRDefault="001203BA" w:rsidP="004C5F22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586C91" w:rsidRPr="00534740" w14:paraId="4A46817A" w14:textId="77777777" w:rsidTr="00162143">
        <w:tc>
          <w:tcPr>
            <w:tcW w:w="2122" w:type="dxa"/>
          </w:tcPr>
          <w:p w14:paraId="01A8C8D8" w14:textId="77777777" w:rsidR="00586C91" w:rsidRDefault="00586C91" w:rsidP="004C5F22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432DACAF" w14:textId="77777777" w:rsidR="00586C91" w:rsidRPr="007B17CA" w:rsidRDefault="00586C91" w:rsidP="004C5F22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33FDD" w:rsidRPr="00162143" w14:paraId="0825C8EE" w14:textId="77777777" w:rsidTr="00162143">
        <w:trPr>
          <w:trHeight w:val="1952"/>
        </w:trPr>
        <w:tc>
          <w:tcPr>
            <w:tcW w:w="2122" w:type="dxa"/>
          </w:tcPr>
          <w:p w14:paraId="0DE20AB4" w14:textId="77777777" w:rsidR="00133FDD" w:rsidRDefault="00133FDD" w:rsidP="004C5F22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33C145A7" w14:textId="77777777" w:rsidR="00133FDD" w:rsidRDefault="00133FDD" w:rsidP="004C5F2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96CF5">
              <w:rPr>
                <w:rFonts w:cs="Calibri"/>
                <w:lang w:val="nl-BE"/>
              </w:rPr>
              <w:t>De raad van toezicht legt aan de algemene vergadering bepaald in artikel 3:1 een verslag voor met zijn opmerkingen over de rekeningen van het boekjaar, alsook, in voorkomend geval, over het jaarverslag van de directieraad.</w:t>
            </w:r>
          </w:p>
          <w:p w14:paraId="1899DC3B" w14:textId="77777777" w:rsidR="00133FDD" w:rsidRDefault="00133FDD" w:rsidP="004C5F2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61A27EA0" w14:textId="77777777" w:rsidR="00133FDD" w:rsidRPr="004B0827" w:rsidRDefault="00133FDD" w:rsidP="004C5F22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D96CF5">
              <w:rPr>
                <w:rFonts w:cs="Calibri"/>
                <w:lang w:val="nl-NL"/>
              </w:rPr>
              <w:t>Dit verslag wordt samen met de jaarrekening overeenkomstig artikel 3:12, § 1, 10°, neergelegd</w:t>
            </w:r>
            <w:r>
              <w:rPr>
                <w:rFonts w:cs="Calibri"/>
                <w:lang w:val="nl-NL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1E0ACFF" w14:textId="77777777" w:rsidR="00133FDD" w:rsidRDefault="00133FDD" w:rsidP="004C5F2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96CF5">
              <w:rPr>
                <w:rFonts w:cs="Calibri"/>
                <w:lang w:val="fr-FR"/>
              </w:rPr>
              <w:t xml:space="preserve">Le conseil de surveillance présente à l'assemblée générale visée à l'article </w:t>
            </w:r>
            <w:proofErr w:type="gramStart"/>
            <w:r w:rsidRPr="00D96CF5">
              <w:rPr>
                <w:rFonts w:cs="Calibri"/>
                <w:lang w:val="fr-FR"/>
              </w:rPr>
              <w:t>3:</w:t>
            </w:r>
            <w:proofErr w:type="gramEnd"/>
            <w:r w:rsidRPr="00D96CF5">
              <w:rPr>
                <w:rFonts w:cs="Calibri"/>
                <w:lang w:val="fr-FR"/>
              </w:rPr>
              <w:t>1 un rapport contenant ses observations sur les comptes de l'exercice ainsi que, le cas échéant,  sur le rapport de gestion du conseil de direction</w:t>
            </w:r>
            <w:r>
              <w:rPr>
                <w:rFonts w:cs="Calibri"/>
                <w:lang w:val="fr-FR"/>
              </w:rPr>
              <w:t>.</w:t>
            </w:r>
          </w:p>
          <w:p w14:paraId="1359898E" w14:textId="77777777" w:rsidR="00133FDD" w:rsidRDefault="00133FDD" w:rsidP="004C5F2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6CFEDB09" w14:textId="77777777" w:rsidR="00133FDD" w:rsidRPr="00BE221B" w:rsidRDefault="00133FDD" w:rsidP="004C5F22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D96CF5">
              <w:rPr>
                <w:rFonts w:cs="Calibri"/>
                <w:lang w:val="fr-BE"/>
              </w:rPr>
              <w:t>Ce rapport est déposé en même temps que les comptes annuels, conformément à l'article 3:12, § 1</w:t>
            </w:r>
            <w:r w:rsidRPr="00D96CF5">
              <w:rPr>
                <w:rFonts w:cs="Calibri"/>
                <w:vertAlign w:val="superscript"/>
                <w:lang w:val="fr-BE"/>
              </w:rPr>
              <w:t>er</w:t>
            </w:r>
            <w:r w:rsidRPr="00D96CF5">
              <w:rPr>
                <w:rFonts w:cs="Calibri"/>
                <w:lang w:val="fr-BE"/>
              </w:rPr>
              <w:t>, 10°.</w:t>
            </w:r>
          </w:p>
        </w:tc>
      </w:tr>
      <w:tr w:rsidR="00AA5F25" w:rsidRPr="00162143" w14:paraId="4B863A8A" w14:textId="77777777" w:rsidTr="00AA5F25">
        <w:trPr>
          <w:trHeight w:val="437"/>
        </w:trPr>
        <w:tc>
          <w:tcPr>
            <w:tcW w:w="2122" w:type="dxa"/>
          </w:tcPr>
          <w:p w14:paraId="2C9A123A" w14:textId="77777777" w:rsidR="00AA5F25" w:rsidRPr="006C56C4" w:rsidRDefault="00AA5F25" w:rsidP="00E9206C">
            <w:pPr>
              <w:spacing w:after="0"/>
            </w:pPr>
            <w:proofErr w:type="spellStart"/>
            <w:r w:rsidRPr="006C56C4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2DBA04A7" w14:textId="77777777" w:rsidR="00AA5F25" w:rsidRPr="006C56C4" w:rsidRDefault="00AA5F25" w:rsidP="00E9206C">
            <w:pPr>
              <w:spacing w:after="0"/>
            </w:pPr>
            <w:proofErr w:type="spellStart"/>
            <w:r w:rsidRPr="006C56C4">
              <w:t>Geen</w:t>
            </w:r>
            <w:proofErr w:type="spellEnd"/>
            <w:r w:rsidRPr="006C56C4">
              <w:t xml:space="preserve"> </w:t>
            </w:r>
            <w:proofErr w:type="spellStart"/>
            <w:r w:rsidRPr="006C56C4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4513C61" w14:textId="77777777" w:rsidR="00AA5F25" w:rsidRDefault="00AA5F25" w:rsidP="00E9206C">
            <w:pPr>
              <w:spacing w:after="0"/>
            </w:pPr>
            <w:r w:rsidRPr="006C56C4">
              <w:t xml:space="preserve">Pas </w:t>
            </w:r>
            <w:proofErr w:type="spellStart"/>
            <w:r w:rsidRPr="006C56C4">
              <w:t>d’article</w:t>
            </w:r>
            <w:proofErr w:type="spellEnd"/>
            <w:r>
              <w:t>.</w:t>
            </w:r>
          </w:p>
        </w:tc>
      </w:tr>
      <w:tr w:rsidR="00AA5F25" w:rsidRPr="005726FC" w14:paraId="0878413A" w14:textId="77777777" w:rsidTr="00162143">
        <w:trPr>
          <w:trHeight w:val="421"/>
        </w:trPr>
        <w:tc>
          <w:tcPr>
            <w:tcW w:w="2122" w:type="dxa"/>
          </w:tcPr>
          <w:p w14:paraId="7780B026" w14:textId="77777777" w:rsidR="00AA5F25" w:rsidRPr="005726FC" w:rsidRDefault="00AA5F25" w:rsidP="004C5F22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1EF290DA" w14:textId="77777777" w:rsidR="00AA5F25" w:rsidRPr="005726FC" w:rsidRDefault="00AA5F25" w:rsidP="004C5F2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AABB62A" w14:textId="77777777" w:rsidR="00AA5F25" w:rsidRPr="00D96CF5" w:rsidRDefault="00AA5F25" w:rsidP="004C5F2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AA5F25" w:rsidRPr="00162143" w14:paraId="0F6D1CE3" w14:textId="77777777" w:rsidTr="00162143">
        <w:trPr>
          <w:trHeight w:val="426"/>
        </w:trPr>
        <w:tc>
          <w:tcPr>
            <w:tcW w:w="2122" w:type="dxa"/>
          </w:tcPr>
          <w:p w14:paraId="086B0AFE" w14:textId="77777777" w:rsidR="00AA5F25" w:rsidRPr="006C56C4" w:rsidRDefault="00AA5F25" w:rsidP="004C5F22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0D91593D" w14:textId="77777777" w:rsidR="00AA5F25" w:rsidRPr="004B0827" w:rsidRDefault="00AA5F25" w:rsidP="004C5F22">
            <w:pPr>
              <w:spacing w:after="0" w:line="240" w:lineRule="auto"/>
              <w:jc w:val="both"/>
              <w:rPr>
                <w:rFonts w:cs="Calibri"/>
                <w:u w:val="single"/>
                <w:lang w:val="nl-BE"/>
              </w:rPr>
            </w:pPr>
            <w:r w:rsidRPr="00D96CF5">
              <w:rPr>
                <w:rFonts w:cs="Calibri"/>
                <w:lang w:val="nl-BE"/>
              </w:rPr>
              <w:t>Waar in het Belgische duale stelsel de raad van toezicht bevoegd blijft om de jaarrekening (m.i.v. een jaarverslag) op te stellen (artikel 7:96), behoort dit in het Europese stelsel tot de bevoegdheid van de directieraad. Om die reden wordt ervoor geopteerd om artikel 938 van het Wetboek van vennootschappen te hernemen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C193E06" w14:textId="77777777" w:rsidR="00AA5F25" w:rsidRPr="004B0827" w:rsidRDefault="00AA5F25" w:rsidP="004C5F22">
            <w:pPr>
              <w:spacing w:after="0" w:line="240" w:lineRule="auto"/>
              <w:jc w:val="both"/>
              <w:rPr>
                <w:rFonts w:cs="Calibri"/>
                <w:u w:val="single"/>
                <w:lang w:val="fr-FR"/>
              </w:rPr>
            </w:pPr>
            <w:r w:rsidRPr="00D96CF5">
              <w:rPr>
                <w:rFonts w:cs="Calibri"/>
                <w:lang w:val="fr-FR"/>
              </w:rPr>
              <w:t>Là où, dans le système dual belge, le conseil de surveillance demeure compétent pour établir les comptes annuels (y compris un rapport annuel) (article </w:t>
            </w:r>
            <w:proofErr w:type="gramStart"/>
            <w:r w:rsidRPr="00D96CF5">
              <w:rPr>
                <w:rFonts w:cs="Calibri"/>
                <w:lang w:val="fr-FR"/>
              </w:rPr>
              <w:t>7:</w:t>
            </w:r>
            <w:proofErr w:type="gramEnd"/>
            <w:r w:rsidRPr="00D96CF5">
              <w:rPr>
                <w:rFonts w:cs="Calibri"/>
                <w:lang w:val="fr-FR"/>
              </w:rPr>
              <w:t>96), dans le système européen, cela relève de la compétence du conseil de direction. Pour cette raison, l’option a été prise de reprendre l’article 938 du Code des sociétés</w:t>
            </w:r>
          </w:p>
        </w:tc>
      </w:tr>
      <w:tr w:rsidR="00AA5F25" w:rsidRPr="005726FC" w14:paraId="33E89E47" w14:textId="77777777" w:rsidTr="00162143">
        <w:trPr>
          <w:trHeight w:val="343"/>
        </w:trPr>
        <w:tc>
          <w:tcPr>
            <w:tcW w:w="2122" w:type="dxa"/>
          </w:tcPr>
          <w:p w14:paraId="67F9E67C" w14:textId="77777777" w:rsidR="00AA5F25" w:rsidRPr="007F31DB" w:rsidRDefault="00AA5F25" w:rsidP="004C5F22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790C21D3" w14:textId="77777777" w:rsidR="00AA5F25" w:rsidRPr="007F31DB" w:rsidRDefault="00AA5F25" w:rsidP="004C5F22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17A8261" w14:textId="77777777" w:rsidR="00AA5F25" w:rsidRPr="007F31DB" w:rsidRDefault="00AA5F25" w:rsidP="004C5F22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7E0CD7DD" w14:textId="77777777" w:rsidR="001203BA" w:rsidRPr="0047203B" w:rsidRDefault="001203BA" w:rsidP="001203BA">
      <w:pPr>
        <w:rPr>
          <w:lang w:val="fr-FR"/>
        </w:rPr>
      </w:pPr>
    </w:p>
    <w:p w14:paraId="4DC243D4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441DE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2143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15C03"/>
    <w:rsid w:val="00423115"/>
    <w:rsid w:val="004334BF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B0827"/>
    <w:rsid w:val="004C3052"/>
    <w:rsid w:val="004C5F22"/>
    <w:rsid w:val="004C63A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62DB1"/>
    <w:rsid w:val="005726FC"/>
    <w:rsid w:val="00585D82"/>
    <w:rsid w:val="00586C91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8143A"/>
    <w:rsid w:val="00686C06"/>
    <w:rsid w:val="006920C9"/>
    <w:rsid w:val="006A735D"/>
    <w:rsid w:val="006B2AA7"/>
    <w:rsid w:val="006C529C"/>
    <w:rsid w:val="006D501B"/>
    <w:rsid w:val="0070142C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6E5F"/>
    <w:rsid w:val="009172D4"/>
    <w:rsid w:val="00922794"/>
    <w:rsid w:val="0093030C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A5F25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72E4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B6FFB"/>
    <w:rsid w:val="00CC6422"/>
    <w:rsid w:val="00D22227"/>
    <w:rsid w:val="00D42D9B"/>
    <w:rsid w:val="00D46773"/>
    <w:rsid w:val="00D56771"/>
    <w:rsid w:val="00D66D82"/>
    <w:rsid w:val="00D751E3"/>
    <w:rsid w:val="00D8405B"/>
    <w:rsid w:val="00D931FB"/>
    <w:rsid w:val="00D96002"/>
    <w:rsid w:val="00DA0AF3"/>
    <w:rsid w:val="00DB5C97"/>
    <w:rsid w:val="00DD79BB"/>
    <w:rsid w:val="00DE1FCC"/>
    <w:rsid w:val="00DE4600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164D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11</cp:revision>
  <dcterms:created xsi:type="dcterms:W3CDTF">2019-11-08T10:21:00Z</dcterms:created>
  <dcterms:modified xsi:type="dcterms:W3CDTF">2022-02-07T14:10:00Z</dcterms:modified>
</cp:coreProperties>
</file>