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189"/>
        <w:gridCol w:w="5387"/>
        <w:gridCol w:w="283"/>
      </w:tblGrid>
      <w:tr w:rsidR="003A1654" w:rsidRPr="004A0FFB" w14:paraId="607565A9" w14:textId="77777777" w:rsidTr="00DE3D90">
        <w:tc>
          <w:tcPr>
            <w:tcW w:w="13698" w:type="dxa"/>
            <w:gridSpan w:val="3"/>
          </w:tcPr>
          <w:p w14:paraId="6C8FE640" w14:textId="47D6F5F7" w:rsidR="003A1654" w:rsidRDefault="003A1654" w:rsidP="00DF11B2">
            <w:pPr>
              <w:rPr>
                <w:b/>
                <w:sz w:val="32"/>
                <w:szCs w:val="32"/>
                <w:lang w:val="nl-BE"/>
              </w:rPr>
            </w:pPr>
            <w:r>
              <w:rPr>
                <w:b/>
                <w:sz w:val="32"/>
                <w:szCs w:val="32"/>
                <w:lang w:val="nl-BE"/>
              </w:rPr>
              <w:t>Hoofdstuk 3. – D</w:t>
            </w:r>
            <w:r w:rsidRPr="003A1654">
              <w:rPr>
                <w:b/>
                <w:sz w:val="32"/>
                <w:szCs w:val="32"/>
                <w:lang w:val="nl-BE"/>
              </w:rPr>
              <w:t xml:space="preserve">eelname aan een SCE door een vennootschap die haar hoofdbestuur niet in de </w:t>
            </w:r>
            <w:r w:rsidR="00C67846">
              <w:rPr>
                <w:b/>
                <w:sz w:val="32"/>
                <w:szCs w:val="32"/>
                <w:lang w:val="nl-BE"/>
              </w:rPr>
              <w:fldChar w:fldCharType="begin"/>
            </w:r>
            <w:r w:rsidR="00C67846">
              <w:rPr>
                <w:b/>
                <w:sz w:val="32"/>
                <w:szCs w:val="32"/>
                <w:lang w:val="nl-BE"/>
              </w:rPr>
              <w:instrText xml:space="preserve"> HYPERLINK  \l "_Amendement_305" </w:instrText>
            </w:r>
            <w:r w:rsidR="00C67846">
              <w:rPr>
                <w:b/>
                <w:sz w:val="32"/>
                <w:szCs w:val="32"/>
                <w:lang w:val="nl-BE"/>
              </w:rPr>
            </w:r>
            <w:r w:rsidR="00C67846">
              <w:rPr>
                <w:b/>
                <w:sz w:val="32"/>
                <w:szCs w:val="32"/>
                <w:lang w:val="nl-BE"/>
              </w:rPr>
              <w:fldChar w:fldCharType="separate"/>
            </w:r>
            <w:r w:rsidRPr="00C67846">
              <w:rPr>
                <w:rStyle w:val="Hyperlink"/>
                <w:b/>
                <w:sz w:val="32"/>
                <w:szCs w:val="32"/>
                <w:lang w:val="nl-BE"/>
              </w:rPr>
              <w:t>Europese Unie</w:t>
            </w:r>
            <w:r w:rsidR="00C67846">
              <w:rPr>
                <w:b/>
                <w:sz w:val="32"/>
                <w:szCs w:val="32"/>
                <w:lang w:val="nl-BE"/>
              </w:rPr>
              <w:fldChar w:fldCharType="end"/>
            </w:r>
            <w:r w:rsidRPr="003A1654">
              <w:rPr>
                <w:b/>
                <w:sz w:val="32"/>
                <w:szCs w:val="32"/>
                <w:lang w:val="nl-BE"/>
              </w:rPr>
              <w:t xml:space="preserve"> heeft.</w:t>
            </w:r>
          </w:p>
        </w:tc>
        <w:tc>
          <w:tcPr>
            <w:tcW w:w="283" w:type="dxa"/>
            <w:shd w:val="clear" w:color="auto" w:fill="auto"/>
          </w:tcPr>
          <w:p w14:paraId="67812500" w14:textId="77777777" w:rsidR="003A1654" w:rsidRPr="007B17CA" w:rsidRDefault="003A1654" w:rsidP="00DF11B2">
            <w:pPr>
              <w:jc w:val="center"/>
              <w:rPr>
                <w:rFonts w:ascii="Cambria" w:eastAsia="Calibri" w:hAnsi="Cambria" w:cs="Times New Roman"/>
                <w:b/>
                <w:bCs/>
                <w:color w:val="4F81BD"/>
                <w:sz w:val="32"/>
                <w:szCs w:val="26"/>
                <w:lang w:val="nl-NL" w:eastAsia="fr-FR"/>
              </w:rPr>
            </w:pPr>
          </w:p>
        </w:tc>
      </w:tr>
      <w:tr w:rsidR="001203BA" w:rsidRPr="00534740" w14:paraId="3ADCD264" w14:textId="77777777" w:rsidTr="00DE3D90">
        <w:tc>
          <w:tcPr>
            <w:tcW w:w="2122" w:type="dxa"/>
          </w:tcPr>
          <w:p w14:paraId="12C9FD7B" w14:textId="77777777" w:rsidR="001203BA" w:rsidRPr="00B07AC9" w:rsidRDefault="00C9498E" w:rsidP="00DF11B2">
            <w:pPr>
              <w:rPr>
                <w:b/>
                <w:sz w:val="32"/>
                <w:szCs w:val="32"/>
                <w:lang w:val="nl-BE"/>
              </w:rPr>
            </w:pPr>
            <w:r>
              <w:rPr>
                <w:b/>
                <w:sz w:val="32"/>
                <w:szCs w:val="32"/>
                <w:lang w:val="nl-BE"/>
              </w:rPr>
              <w:t>ARTIKEL 16:12</w:t>
            </w:r>
          </w:p>
        </w:tc>
        <w:tc>
          <w:tcPr>
            <w:tcW w:w="11859" w:type="dxa"/>
            <w:gridSpan w:val="3"/>
            <w:shd w:val="clear" w:color="auto" w:fill="auto"/>
          </w:tcPr>
          <w:p w14:paraId="6A0E1F8A" w14:textId="77777777" w:rsidR="001203BA" w:rsidRPr="007B17CA" w:rsidRDefault="001203BA" w:rsidP="00DF11B2">
            <w:pPr>
              <w:jc w:val="center"/>
              <w:rPr>
                <w:rFonts w:ascii="Cambria" w:eastAsia="Calibri" w:hAnsi="Cambria" w:cs="Times New Roman"/>
                <w:b/>
                <w:bCs/>
                <w:color w:val="4F81BD"/>
                <w:sz w:val="32"/>
                <w:szCs w:val="26"/>
                <w:lang w:val="nl-NL" w:eastAsia="fr-FR"/>
              </w:rPr>
            </w:pPr>
          </w:p>
        </w:tc>
      </w:tr>
      <w:tr w:rsidR="00BE45CA" w:rsidRPr="00534740" w14:paraId="38CDBE8A" w14:textId="77777777" w:rsidTr="00DE3D90">
        <w:tc>
          <w:tcPr>
            <w:tcW w:w="2122" w:type="dxa"/>
          </w:tcPr>
          <w:p w14:paraId="44801753" w14:textId="77777777" w:rsidR="00BE45CA" w:rsidRDefault="00BE45CA" w:rsidP="00DF11B2">
            <w:pPr>
              <w:rPr>
                <w:b/>
                <w:sz w:val="32"/>
                <w:szCs w:val="32"/>
                <w:lang w:val="nl-BE"/>
              </w:rPr>
            </w:pPr>
          </w:p>
        </w:tc>
        <w:tc>
          <w:tcPr>
            <w:tcW w:w="11859" w:type="dxa"/>
            <w:gridSpan w:val="3"/>
            <w:shd w:val="clear" w:color="auto" w:fill="auto"/>
          </w:tcPr>
          <w:p w14:paraId="010BB28F" w14:textId="77777777" w:rsidR="00BE45CA" w:rsidRPr="007B17CA" w:rsidRDefault="00BE45CA" w:rsidP="00DF11B2">
            <w:pPr>
              <w:jc w:val="center"/>
              <w:rPr>
                <w:rFonts w:ascii="Cambria" w:eastAsia="Calibri" w:hAnsi="Cambria" w:cs="Times New Roman"/>
                <w:b/>
                <w:bCs/>
                <w:color w:val="4F81BD"/>
                <w:sz w:val="32"/>
                <w:szCs w:val="26"/>
                <w:lang w:val="nl-NL" w:eastAsia="fr-FR"/>
              </w:rPr>
            </w:pPr>
          </w:p>
        </w:tc>
      </w:tr>
      <w:tr w:rsidR="003A1654" w:rsidRPr="00DE3D90" w14:paraId="7A26F22B" w14:textId="77777777" w:rsidTr="00DE3D90">
        <w:trPr>
          <w:trHeight w:val="1810"/>
        </w:trPr>
        <w:tc>
          <w:tcPr>
            <w:tcW w:w="2122" w:type="dxa"/>
          </w:tcPr>
          <w:p w14:paraId="48137C84" w14:textId="77777777" w:rsidR="003A1654" w:rsidRDefault="003A1654" w:rsidP="00C67846">
            <w:pPr>
              <w:pStyle w:val="Kop1"/>
              <w:rPr>
                <w:lang w:val="nl-BE"/>
              </w:rPr>
            </w:pPr>
            <w:bookmarkStart w:id="0" w:name="_Amendement_305"/>
            <w:bookmarkEnd w:id="0"/>
            <w:r>
              <w:rPr>
                <w:lang w:val="nl-BE"/>
              </w:rPr>
              <w:t>Amendement 305</w:t>
            </w:r>
          </w:p>
        </w:tc>
        <w:tc>
          <w:tcPr>
            <w:tcW w:w="6189" w:type="dxa"/>
            <w:shd w:val="clear" w:color="auto" w:fill="auto"/>
          </w:tcPr>
          <w:p w14:paraId="2E9CA4BA" w14:textId="77777777" w:rsidR="003A1654" w:rsidRDefault="003A1654" w:rsidP="00DF11B2">
            <w:pPr>
              <w:spacing w:after="0" w:line="240" w:lineRule="auto"/>
              <w:jc w:val="both"/>
              <w:rPr>
                <w:rFonts w:cs="Calibri"/>
                <w:lang w:val="nl-BE"/>
              </w:rPr>
            </w:pPr>
            <w:r w:rsidRPr="003A1654">
              <w:rPr>
                <w:rFonts w:cs="Calibri"/>
                <w:lang w:val="nl-BE"/>
              </w:rPr>
              <w:t>In Boek 16, Titel 2, in het voorgestelde opschrift</w:t>
            </w:r>
            <w:r>
              <w:rPr>
                <w:rFonts w:cs="Calibri"/>
                <w:lang w:val="nl-BE"/>
              </w:rPr>
              <w:t xml:space="preserve"> </w:t>
            </w:r>
            <w:r w:rsidRPr="003A1654">
              <w:rPr>
                <w:rFonts w:cs="Calibri"/>
                <w:lang w:val="nl-BE"/>
              </w:rPr>
              <w:t>van hoofdstuk 3, de woorden “de Europese Gemeenschap”</w:t>
            </w:r>
            <w:r w:rsidR="00DF11B2">
              <w:rPr>
                <w:rFonts w:cs="Calibri"/>
                <w:lang w:val="nl-BE"/>
              </w:rPr>
              <w:t xml:space="preserve"> </w:t>
            </w:r>
            <w:r w:rsidRPr="003A1654">
              <w:rPr>
                <w:rFonts w:cs="Calibri"/>
                <w:lang w:val="nl-BE"/>
              </w:rPr>
              <w:t>vervangen door de woorden “de Europese</w:t>
            </w:r>
            <w:r>
              <w:rPr>
                <w:rFonts w:cs="Calibri"/>
                <w:lang w:val="nl-BE"/>
              </w:rPr>
              <w:t xml:space="preserve"> </w:t>
            </w:r>
            <w:r w:rsidRPr="003A1654">
              <w:rPr>
                <w:rFonts w:cs="Calibri"/>
                <w:lang w:val="nl-BE"/>
              </w:rPr>
              <w:t>Unie”.</w:t>
            </w:r>
          </w:p>
          <w:p w14:paraId="4A684611" w14:textId="77777777" w:rsidR="003A1654" w:rsidRPr="003A1654" w:rsidRDefault="003A1654" w:rsidP="00DF11B2">
            <w:pPr>
              <w:spacing w:after="0" w:line="240" w:lineRule="auto"/>
              <w:jc w:val="both"/>
              <w:rPr>
                <w:rFonts w:cs="Calibri"/>
                <w:lang w:val="nl-BE"/>
              </w:rPr>
            </w:pPr>
          </w:p>
          <w:p w14:paraId="1D54D37E" w14:textId="77777777" w:rsidR="003A1654" w:rsidRDefault="003A1654" w:rsidP="00DF11B2">
            <w:pPr>
              <w:spacing w:after="0" w:line="240" w:lineRule="auto"/>
              <w:jc w:val="both"/>
              <w:rPr>
                <w:rFonts w:cs="Calibri"/>
                <w:lang w:val="nl-BE"/>
              </w:rPr>
            </w:pPr>
            <w:r w:rsidRPr="003A1654">
              <w:rPr>
                <w:rFonts w:cs="Calibri"/>
                <w:lang w:val="nl-BE"/>
              </w:rPr>
              <w:t>VERANTWOORDING</w:t>
            </w:r>
          </w:p>
          <w:p w14:paraId="5A425007" w14:textId="77777777" w:rsidR="00DF11B2" w:rsidRPr="003A1654" w:rsidRDefault="00DF11B2" w:rsidP="00DF11B2">
            <w:pPr>
              <w:spacing w:after="0" w:line="240" w:lineRule="auto"/>
              <w:jc w:val="both"/>
              <w:rPr>
                <w:rFonts w:cs="Calibri"/>
                <w:lang w:val="nl-BE"/>
              </w:rPr>
            </w:pPr>
          </w:p>
          <w:p w14:paraId="3D0512C8" w14:textId="77777777" w:rsidR="003A1654" w:rsidRPr="0043008A" w:rsidRDefault="003A1654" w:rsidP="00DF11B2">
            <w:pPr>
              <w:spacing w:after="0" w:line="240" w:lineRule="auto"/>
              <w:jc w:val="both"/>
              <w:rPr>
                <w:rFonts w:cs="Calibri"/>
                <w:lang w:val="nl-BE"/>
              </w:rPr>
            </w:pPr>
            <w:r w:rsidRPr="003A1654">
              <w:rPr>
                <w:rFonts w:cs="Calibri"/>
                <w:lang w:val="nl-BE"/>
              </w:rPr>
              <w:t>Dit amendement corrigeert een materiële vergissing.</w:t>
            </w:r>
          </w:p>
        </w:tc>
        <w:tc>
          <w:tcPr>
            <w:tcW w:w="5670" w:type="dxa"/>
            <w:gridSpan w:val="2"/>
            <w:shd w:val="clear" w:color="auto" w:fill="auto"/>
          </w:tcPr>
          <w:p w14:paraId="06AE4E43" w14:textId="77777777" w:rsidR="003A1654" w:rsidRDefault="003A1654" w:rsidP="00DF11B2">
            <w:pPr>
              <w:spacing w:after="0" w:line="240" w:lineRule="auto"/>
              <w:jc w:val="both"/>
              <w:rPr>
                <w:rFonts w:cs="Calibri"/>
                <w:lang w:val="fr-FR"/>
              </w:rPr>
            </w:pPr>
            <w:r w:rsidRPr="003A1654">
              <w:rPr>
                <w:rFonts w:cs="Calibri"/>
                <w:lang w:val="fr-FR"/>
              </w:rPr>
              <w:t>Dans le Livre 16, Titre 2, l’intitulé du chapitre 3,</w:t>
            </w:r>
            <w:r>
              <w:rPr>
                <w:rFonts w:cs="Calibri"/>
                <w:lang w:val="fr-FR"/>
              </w:rPr>
              <w:t xml:space="preserve"> </w:t>
            </w:r>
            <w:r w:rsidRPr="003A1654">
              <w:rPr>
                <w:rFonts w:cs="Calibri"/>
                <w:lang w:val="fr-FR"/>
              </w:rPr>
              <w:t>proposé, remplacer les mots “la Communauté européenne”</w:t>
            </w:r>
            <w:r>
              <w:rPr>
                <w:rFonts w:cs="Calibri"/>
                <w:lang w:val="fr-FR"/>
              </w:rPr>
              <w:t xml:space="preserve"> </w:t>
            </w:r>
            <w:r w:rsidRPr="003A1654">
              <w:rPr>
                <w:rFonts w:cs="Calibri"/>
                <w:lang w:val="fr-FR"/>
              </w:rPr>
              <w:t>par les mots “l’Union européenne”.</w:t>
            </w:r>
          </w:p>
          <w:p w14:paraId="67FD1E61" w14:textId="77777777" w:rsidR="003A1654" w:rsidRPr="003A1654" w:rsidRDefault="003A1654" w:rsidP="00DF11B2">
            <w:pPr>
              <w:spacing w:after="0" w:line="240" w:lineRule="auto"/>
              <w:jc w:val="both"/>
              <w:rPr>
                <w:rFonts w:cs="Calibri"/>
                <w:lang w:val="fr-FR"/>
              </w:rPr>
            </w:pPr>
          </w:p>
          <w:p w14:paraId="7483585C" w14:textId="77777777" w:rsidR="003A1654" w:rsidRDefault="003A1654" w:rsidP="00DF11B2">
            <w:pPr>
              <w:spacing w:after="0" w:line="240" w:lineRule="auto"/>
              <w:jc w:val="both"/>
              <w:rPr>
                <w:rFonts w:cs="Calibri"/>
                <w:lang w:val="fr-FR"/>
              </w:rPr>
            </w:pPr>
            <w:r w:rsidRPr="003A1654">
              <w:rPr>
                <w:rFonts w:cs="Calibri"/>
                <w:lang w:val="fr-FR"/>
              </w:rPr>
              <w:t>JUSTIFICATION</w:t>
            </w:r>
          </w:p>
          <w:p w14:paraId="6DE1BB8D" w14:textId="77777777" w:rsidR="00DF11B2" w:rsidRPr="003A1654" w:rsidRDefault="00DF11B2" w:rsidP="00DF11B2">
            <w:pPr>
              <w:spacing w:after="0" w:line="240" w:lineRule="auto"/>
              <w:jc w:val="both"/>
              <w:rPr>
                <w:rFonts w:cs="Calibri"/>
                <w:lang w:val="fr-FR"/>
              </w:rPr>
            </w:pPr>
          </w:p>
          <w:p w14:paraId="07E5136D" w14:textId="77777777" w:rsidR="003A1654" w:rsidRPr="003A1654" w:rsidRDefault="003A1654" w:rsidP="00DF11B2">
            <w:pPr>
              <w:spacing w:after="0" w:line="240" w:lineRule="auto"/>
              <w:jc w:val="both"/>
              <w:rPr>
                <w:rFonts w:cs="Calibri"/>
                <w:lang w:val="fr-FR"/>
              </w:rPr>
            </w:pPr>
            <w:r w:rsidRPr="003A1654">
              <w:rPr>
                <w:rFonts w:cs="Calibri"/>
                <w:lang w:val="fr-FR"/>
              </w:rPr>
              <w:t>Cet amendement a pour objet de corriger une erreur</w:t>
            </w:r>
            <w:r>
              <w:rPr>
                <w:rFonts w:cs="Calibri"/>
                <w:lang w:val="fr-FR"/>
              </w:rPr>
              <w:t xml:space="preserve"> </w:t>
            </w:r>
            <w:r w:rsidRPr="003A1654">
              <w:rPr>
                <w:rFonts w:cs="Calibri"/>
                <w:lang w:val="fr-FR"/>
              </w:rPr>
              <w:t>matérielle.</w:t>
            </w:r>
          </w:p>
        </w:tc>
      </w:tr>
      <w:tr w:rsidR="00C9498E" w:rsidRPr="00DE3D90" w14:paraId="7D681C60" w14:textId="77777777" w:rsidTr="00DE3D90">
        <w:trPr>
          <w:trHeight w:val="1625"/>
        </w:trPr>
        <w:tc>
          <w:tcPr>
            <w:tcW w:w="2122" w:type="dxa"/>
          </w:tcPr>
          <w:p w14:paraId="432556F4" w14:textId="77777777" w:rsidR="00C9498E" w:rsidRDefault="00C9498E" w:rsidP="00DF11B2">
            <w:pPr>
              <w:spacing w:after="0" w:line="240" w:lineRule="auto"/>
              <w:rPr>
                <w:rFonts w:cs="Calibri"/>
                <w:lang w:val="nl-BE"/>
              </w:rPr>
            </w:pPr>
            <w:r>
              <w:rPr>
                <w:rFonts w:cs="Calibri"/>
                <w:lang w:val="nl-BE"/>
              </w:rPr>
              <w:t>WVV</w:t>
            </w:r>
          </w:p>
        </w:tc>
        <w:tc>
          <w:tcPr>
            <w:tcW w:w="6189" w:type="dxa"/>
            <w:shd w:val="clear" w:color="auto" w:fill="auto"/>
          </w:tcPr>
          <w:p w14:paraId="0A85A7E2" w14:textId="73E26646" w:rsidR="00C9498E" w:rsidRPr="0043008A" w:rsidRDefault="00C9498E" w:rsidP="00DF11B2">
            <w:pPr>
              <w:spacing w:after="0" w:line="240" w:lineRule="auto"/>
              <w:jc w:val="both"/>
              <w:rPr>
                <w:rFonts w:cs="Calibri"/>
                <w:lang w:val="nl-BE"/>
              </w:rPr>
            </w:pPr>
            <w:r w:rsidRPr="0043008A">
              <w:rPr>
                <w:rFonts w:cs="Calibri"/>
                <w:lang w:val="nl-BE"/>
              </w:rPr>
              <w:t xml:space="preserve">Een vennootschap die haar hoofdbestuur niet in de </w:t>
            </w:r>
            <w:hyperlink w:anchor="_Amendement_306" w:history="1">
              <w:r w:rsidRPr="00C67846">
                <w:rPr>
                  <w:rStyle w:val="Hyperlink"/>
                  <w:rFonts w:cs="Calibri"/>
                  <w:lang w:val="nl-BE"/>
                </w:rPr>
                <w:t>Europese Unie</w:t>
              </w:r>
            </w:hyperlink>
            <w:r w:rsidRPr="0043008A">
              <w:rPr>
                <w:rFonts w:cs="Calibri"/>
                <w:lang w:val="nl-BE"/>
              </w:rPr>
              <w:t xml:space="preserve"> heeft kan deelnemen aan de oprichting van een SCE, op voorwaarde dat zij overeenkomstig het recht van een lidstaat is opgericht, haar statutaire zetel in die lidstaat heeft en een daadwerkelijk en duurzaam verband met de economie van een lidstaat heeft.</w:t>
            </w:r>
          </w:p>
        </w:tc>
        <w:tc>
          <w:tcPr>
            <w:tcW w:w="5670" w:type="dxa"/>
            <w:gridSpan w:val="2"/>
            <w:shd w:val="clear" w:color="auto" w:fill="auto"/>
          </w:tcPr>
          <w:p w14:paraId="44864964" w14:textId="49D0A289" w:rsidR="00C9498E" w:rsidRPr="00C9498E" w:rsidRDefault="00C9498E" w:rsidP="00DF11B2">
            <w:pPr>
              <w:spacing w:after="0" w:line="240" w:lineRule="auto"/>
              <w:jc w:val="both"/>
              <w:rPr>
                <w:rFonts w:cs="Calibri"/>
                <w:lang w:val="fr-BE"/>
              </w:rPr>
            </w:pPr>
            <w:r w:rsidRPr="0043008A">
              <w:rPr>
                <w:rFonts w:cs="Calibri"/>
                <w:lang w:val="fr-FR"/>
              </w:rPr>
              <w:t xml:space="preserve">Une société n'ayant pas son administration centrale dans la </w:t>
            </w:r>
            <w:hyperlink w:anchor="_Amendement_306_1" w:history="1">
              <w:r w:rsidRPr="00C67846">
                <w:rPr>
                  <w:rStyle w:val="Hyperlink"/>
                  <w:rFonts w:cs="Calibri"/>
                  <w:lang w:val="fr-FR"/>
                </w:rPr>
                <w:t>Union européenne</w:t>
              </w:r>
            </w:hyperlink>
            <w:bookmarkStart w:id="1" w:name="_GoBack"/>
            <w:bookmarkEnd w:id="1"/>
            <w:r w:rsidRPr="0043008A">
              <w:rPr>
                <w:rFonts w:cs="Calibri"/>
                <w:lang w:val="fr-FR"/>
              </w:rPr>
              <w:t xml:space="preserve"> peut participer à la constitution d'une SCE, si elle est constituée selon le droit d'un État membre, a son siège statutaire dans ce même État membre et a un lien effectif et continu avec l'économie d'un État membre</w:t>
            </w:r>
            <w:r>
              <w:rPr>
                <w:rFonts w:cs="Calibri"/>
                <w:lang w:val="fr-FR"/>
              </w:rPr>
              <w:t>.</w:t>
            </w:r>
          </w:p>
          <w:p w14:paraId="6EBA5552" w14:textId="77777777" w:rsidR="00C9498E" w:rsidRPr="0043008A" w:rsidRDefault="00C9498E" w:rsidP="00DF11B2">
            <w:pPr>
              <w:spacing w:after="0" w:line="240" w:lineRule="auto"/>
              <w:jc w:val="both"/>
              <w:rPr>
                <w:rFonts w:cs="Calibri"/>
                <w:lang w:val="fr-BE"/>
              </w:rPr>
            </w:pPr>
          </w:p>
        </w:tc>
      </w:tr>
      <w:tr w:rsidR="004A0FFB" w:rsidRPr="00DE3D90" w14:paraId="7C2DF700" w14:textId="77777777" w:rsidTr="004A0FFB">
        <w:trPr>
          <w:trHeight w:val="395"/>
        </w:trPr>
        <w:tc>
          <w:tcPr>
            <w:tcW w:w="2122" w:type="dxa"/>
          </w:tcPr>
          <w:p w14:paraId="1E159D2B" w14:textId="77777777" w:rsidR="004A0FFB" w:rsidRPr="005E786C" w:rsidRDefault="004A0FFB" w:rsidP="00E9206C">
            <w:pPr>
              <w:spacing w:after="0"/>
            </w:pPr>
            <w:proofErr w:type="spellStart"/>
            <w:r w:rsidRPr="005E786C">
              <w:t>Ontwerp</w:t>
            </w:r>
            <w:proofErr w:type="spellEnd"/>
          </w:p>
        </w:tc>
        <w:tc>
          <w:tcPr>
            <w:tcW w:w="6189" w:type="dxa"/>
            <w:shd w:val="clear" w:color="auto" w:fill="auto"/>
          </w:tcPr>
          <w:p w14:paraId="3E3B2BB3" w14:textId="77777777" w:rsidR="004A0FFB" w:rsidRPr="005E786C" w:rsidRDefault="004A0FFB" w:rsidP="00E9206C">
            <w:pPr>
              <w:spacing w:after="0"/>
            </w:pPr>
            <w:proofErr w:type="spellStart"/>
            <w:r w:rsidRPr="005E786C">
              <w:t>Geen</w:t>
            </w:r>
            <w:proofErr w:type="spellEnd"/>
            <w:r w:rsidRPr="005E786C">
              <w:t xml:space="preserve"> </w:t>
            </w:r>
            <w:proofErr w:type="spellStart"/>
            <w:r w:rsidRPr="005E786C">
              <w:t>artikel</w:t>
            </w:r>
            <w:proofErr w:type="spellEnd"/>
            <w:r>
              <w:t>.</w:t>
            </w:r>
          </w:p>
        </w:tc>
        <w:tc>
          <w:tcPr>
            <w:tcW w:w="5670" w:type="dxa"/>
            <w:gridSpan w:val="2"/>
            <w:shd w:val="clear" w:color="auto" w:fill="auto"/>
          </w:tcPr>
          <w:p w14:paraId="7F084AE4" w14:textId="77777777" w:rsidR="004A0FFB" w:rsidRDefault="004A0FFB" w:rsidP="00E9206C">
            <w:pPr>
              <w:spacing w:after="0"/>
            </w:pPr>
            <w:r w:rsidRPr="005E786C">
              <w:t xml:space="preserve">Pas </w:t>
            </w:r>
            <w:proofErr w:type="spellStart"/>
            <w:r w:rsidRPr="005E786C">
              <w:t>d’article</w:t>
            </w:r>
            <w:proofErr w:type="spellEnd"/>
            <w:r>
              <w:t>.</w:t>
            </w:r>
          </w:p>
        </w:tc>
      </w:tr>
      <w:tr w:rsidR="004A0FFB" w:rsidRPr="00114549" w14:paraId="43068DD7" w14:textId="77777777" w:rsidTr="00DE3D90">
        <w:trPr>
          <w:trHeight w:val="433"/>
        </w:trPr>
        <w:tc>
          <w:tcPr>
            <w:tcW w:w="2122" w:type="dxa"/>
          </w:tcPr>
          <w:p w14:paraId="0A69A3AE" w14:textId="77777777" w:rsidR="004A0FFB" w:rsidRPr="00114549" w:rsidRDefault="004A0FFB" w:rsidP="00DF11B2">
            <w:pPr>
              <w:spacing w:after="0" w:line="240" w:lineRule="auto"/>
              <w:rPr>
                <w:rFonts w:cs="Calibri"/>
                <w:lang w:val="fr-FR"/>
              </w:rPr>
            </w:pPr>
            <w:proofErr w:type="spellStart"/>
            <w:r>
              <w:rPr>
                <w:rFonts w:cs="Calibri"/>
                <w:lang w:val="fr-FR"/>
              </w:rPr>
              <w:t>Voorontwerp</w:t>
            </w:r>
            <w:proofErr w:type="spellEnd"/>
          </w:p>
        </w:tc>
        <w:tc>
          <w:tcPr>
            <w:tcW w:w="6189" w:type="dxa"/>
            <w:shd w:val="clear" w:color="auto" w:fill="auto"/>
          </w:tcPr>
          <w:p w14:paraId="11B8F440" w14:textId="77777777" w:rsidR="004A0FFB" w:rsidRPr="00114549" w:rsidRDefault="004A0FFB" w:rsidP="00DF11B2">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670" w:type="dxa"/>
            <w:gridSpan w:val="2"/>
            <w:shd w:val="clear" w:color="auto" w:fill="auto"/>
          </w:tcPr>
          <w:p w14:paraId="7F7EEAE7" w14:textId="77777777" w:rsidR="004A0FFB" w:rsidRPr="0043008A" w:rsidRDefault="004A0FFB" w:rsidP="00DF11B2">
            <w:pPr>
              <w:spacing w:after="0" w:line="240" w:lineRule="auto"/>
              <w:jc w:val="both"/>
              <w:rPr>
                <w:rFonts w:cs="Calibri"/>
                <w:lang w:val="fr-FR"/>
              </w:rPr>
            </w:pPr>
            <w:r>
              <w:rPr>
                <w:rFonts w:cs="Calibri"/>
                <w:lang w:val="fr-FR"/>
              </w:rPr>
              <w:t>Pas d’article.</w:t>
            </w:r>
          </w:p>
        </w:tc>
      </w:tr>
      <w:tr w:rsidR="004A0FFB" w:rsidRPr="00DE3D90" w14:paraId="308E4AEB" w14:textId="77777777" w:rsidTr="00DE3D90">
        <w:trPr>
          <w:trHeight w:val="416"/>
        </w:trPr>
        <w:tc>
          <w:tcPr>
            <w:tcW w:w="2122" w:type="dxa"/>
          </w:tcPr>
          <w:p w14:paraId="6D7C3690" w14:textId="77777777" w:rsidR="004A0FFB" w:rsidRPr="005E786C" w:rsidRDefault="004A0FFB" w:rsidP="00DF11B2">
            <w:pPr>
              <w:spacing w:after="0" w:line="240" w:lineRule="auto"/>
            </w:pPr>
            <w:proofErr w:type="spellStart"/>
            <w:r>
              <w:t>MvT</w:t>
            </w:r>
            <w:proofErr w:type="spellEnd"/>
          </w:p>
        </w:tc>
        <w:tc>
          <w:tcPr>
            <w:tcW w:w="6189" w:type="dxa"/>
            <w:shd w:val="clear" w:color="auto" w:fill="auto"/>
          </w:tcPr>
          <w:p w14:paraId="51461AC3" w14:textId="77777777" w:rsidR="004A0FFB" w:rsidRPr="003A1654" w:rsidRDefault="004A0FFB" w:rsidP="00DE3D90">
            <w:pPr>
              <w:spacing w:after="0" w:line="240" w:lineRule="auto"/>
              <w:jc w:val="both"/>
              <w:rPr>
                <w:lang w:val="nl-BE"/>
              </w:rPr>
            </w:pPr>
            <w:r w:rsidRPr="003A1654">
              <w:rPr>
                <w:lang w:val="nl-BE"/>
              </w:rPr>
              <w:t>Deze bepaling herneemt artikel 963 van het Wetboek van vennootschappen.</w:t>
            </w:r>
          </w:p>
        </w:tc>
        <w:tc>
          <w:tcPr>
            <w:tcW w:w="5670" w:type="dxa"/>
            <w:gridSpan w:val="2"/>
            <w:shd w:val="clear" w:color="auto" w:fill="auto"/>
          </w:tcPr>
          <w:p w14:paraId="097D8CC6" w14:textId="77777777" w:rsidR="004A0FFB" w:rsidRPr="003A1654" w:rsidRDefault="004A0FFB" w:rsidP="00DF11B2">
            <w:pPr>
              <w:spacing w:after="0" w:line="240" w:lineRule="auto"/>
              <w:rPr>
                <w:lang w:val="fr-FR"/>
              </w:rPr>
            </w:pPr>
            <w:r w:rsidRPr="003A1654">
              <w:rPr>
                <w:lang w:val="fr-FR"/>
              </w:rPr>
              <w:t>Cette disposition reprend l'article 963 du Code des sociétés.</w:t>
            </w:r>
          </w:p>
        </w:tc>
      </w:tr>
      <w:tr w:rsidR="004A0FFB" w:rsidRPr="003A1654" w14:paraId="3B67CC10" w14:textId="77777777" w:rsidTr="00DE3D90">
        <w:trPr>
          <w:trHeight w:val="416"/>
        </w:trPr>
        <w:tc>
          <w:tcPr>
            <w:tcW w:w="2122" w:type="dxa"/>
          </w:tcPr>
          <w:p w14:paraId="5DDCDBAE" w14:textId="77777777" w:rsidR="004A0FFB" w:rsidRDefault="004A0FFB" w:rsidP="00DF11B2">
            <w:pPr>
              <w:spacing w:after="0"/>
            </w:pPr>
            <w:proofErr w:type="spellStart"/>
            <w:r>
              <w:t>RvSt</w:t>
            </w:r>
            <w:proofErr w:type="spellEnd"/>
          </w:p>
        </w:tc>
        <w:tc>
          <w:tcPr>
            <w:tcW w:w="6189" w:type="dxa"/>
            <w:shd w:val="clear" w:color="auto" w:fill="auto"/>
          </w:tcPr>
          <w:p w14:paraId="7CE498E5" w14:textId="77777777" w:rsidR="004A0FFB" w:rsidRPr="003A1654" w:rsidRDefault="004A0FFB" w:rsidP="00DF11B2">
            <w:pPr>
              <w:spacing w:after="0"/>
              <w:rPr>
                <w:lang w:val="nl-BE"/>
              </w:rPr>
            </w:pPr>
            <w:r>
              <w:rPr>
                <w:lang w:val="nl-BE"/>
              </w:rPr>
              <w:t>Geen opmerkingen.</w:t>
            </w:r>
          </w:p>
        </w:tc>
        <w:tc>
          <w:tcPr>
            <w:tcW w:w="5670" w:type="dxa"/>
            <w:gridSpan w:val="2"/>
            <w:shd w:val="clear" w:color="auto" w:fill="auto"/>
          </w:tcPr>
          <w:p w14:paraId="68CA7E9A" w14:textId="77777777" w:rsidR="004A0FFB" w:rsidRPr="003A1654" w:rsidRDefault="004A0FFB" w:rsidP="00DF11B2">
            <w:pPr>
              <w:spacing w:after="0"/>
              <w:rPr>
                <w:lang w:val="fr-FR"/>
              </w:rPr>
            </w:pPr>
            <w:r>
              <w:rPr>
                <w:lang w:val="fr-FR"/>
              </w:rPr>
              <w:t>Pas de remarques.</w:t>
            </w:r>
          </w:p>
        </w:tc>
      </w:tr>
      <w:tr w:rsidR="004A0FFB" w:rsidRPr="00DE3D90" w14:paraId="3C8363F9" w14:textId="77777777" w:rsidTr="00DE3D90">
        <w:trPr>
          <w:trHeight w:val="416"/>
        </w:trPr>
        <w:tc>
          <w:tcPr>
            <w:tcW w:w="2122" w:type="dxa"/>
          </w:tcPr>
          <w:p w14:paraId="180C4DCB" w14:textId="77777777" w:rsidR="004A0FFB" w:rsidRDefault="004A0FFB" w:rsidP="00C67846">
            <w:pPr>
              <w:pStyle w:val="Kop1"/>
            </w:pPr>
            <w:bookmarkStart w:id="2" w:name="_Amendement_306"/>
            <w:bookmarkStart w:id="3" w:name="_Amendement_306_1"/>
            <w:bookmarkEnd w:id="2"/>
            <w:bookmarkEnd w:id="3"/>
            <w:proofErr w:type="spellStart"/>
            <w:r>
              <w:lastRenderedPageBreak/>
              <w:t>Amendement</w:t>
            </w:r>
            <w:proofErr w:type="spellEnd"/>
            <w:r>
              <w:t xml:space="preserve"> 306</w:t>
            </w:r>
          </w:p>
        </w:tc>
        <w:tc>
          <w:tcPr>
            <w:tcW w:w="6189" w:type="dxa"/>
            <w:shd w:val="clear" w:color="auto" w:fill="auto"/>
          </w:tcPr>
          <w:p w14:paraId="2B111F44" w14:textId="77777777" w:rsidR="004A0FFB" w:rsidRPr="00C67846" w:rsidRDefault="004A0FFB" w:rsidP="00DF11B2">
            <w:pPr>
              <w:autoSpaceDE w:val="0"/>
              <w:autoSpaceDN w:val="0"/>
              <w:adjustRightInd w:val="0"/>
              <w:spacing w:after="0" w:line="240" w:lineRule="auto"/>
              <w:jc w:val="both"/>
              <w:rPr>
                <w:rFonts w:cstheme="minorHAnsi"/>
                <w:bCs/>
                <w:lang w:val="nl-BE"/>
              </w:rPr>
            </w:pPr>
            <w:r w:rsidRPr="00C67846">
              <w:rPr>
                <w:rFonts w:cstheme="minorHAnsi"/>
                <w:bCs/>
                <w:lang w:val="nl-BE"/>
              </w:rPr>
              <w:t xml:space="preserve">In het voorgestelde artikel 16:12, de woorden </w:t>
            </w:r>
            <w:r w:rsidRPr="00C67846">
              <w:rPr>
                <w:rFonts w:cstheme="minorHAnsi"/>
                <w:lang w:val="nl-BE"/>
              </w:rPr>
              <w:t xml:space="preserve">“de Europese Gemeenschap” </w:t>
            </w:r>
            <w:r w:rsidRPr="00C67846">
              <w:rPr>
                <w:rFonts w:cstheme="minorHAnsi"/>
                <w:bCs/>
                <w:lang w:val="nl-BE"/>
              </w:rPr>
              <w:t xml:space="preserve">vervangen door de woorden </w:t>
            </w:r>
            <w:r w:rsidRPr="00C67846">
              <w:rPr>
                <w:rFonts w:cstheme="minorHAnsi"/>
                <w:iCs/>
                <w:lang w:val="nl-BE"/>
              </w:rPr>
              <w:t>“de Europese Unie”</w:t>
            </w:r>
            <w:r w:rsidRPr="00C67846">
              <w:rPr>
                <w:rFonts w:cstheme="minorHAnsi"/>
                <w:bCs/>
                <w:lang w:val="nl-BE"/>
              </w:rPr>
              <w:t>.</w:t>
            </w:r>
          </w:p>
          <w:p w14:paraId="4AE94839" w14:textId="77777777" w:rsidR="004A0FFB" w:rsidRPr="003A1654" w:rsidRDefault="004A0FFB" w:rsidP="00DF11B2">
            <w:pPr>
              <w:autoSpaceDE w:val="0"/>
              <w:autoSpaceDN w:val="0"/>
              <w:adjustRightInd w:val="0"/>
              <w:spacing w:after="0" w:line="240" w:lineRule="auto"/>
              <w:jc w:val="both"/>
              <w:rPr>
                <w:rFonts w:cstheme="minorHAnsi"/>
                <w:bCs/>
                <w:lang w:val="nl-BE"/>
              </w:rPr>
            </w:pPr>
          </w:p>
          <w:p w14:paraId="72848859" w14:textId="77777777" w:rsidR="004A0FFB" w:rsidRDefault="004A0FFB" w:rsidP="00DF11B2">
            <w:pPr>
              <w:autoSpaceDE w:val="0"/>
              <w:autoSpaceDN w:val="0"/>
              <w:adjustRightInd w:val="0"/>
              <w:spacing w:after="0" w:line="240" w:lineRule="auto"/>
              <w:jc w:val="both"/>
              <w:rPr>
                <w:rFonts w:cstheme="minorHAnsi"/>
                <w:lang w:val="nl-BE"/>
              </w:rPr>
            </w:pPr>
            <w:r w:rsidRPr="003A1654">
              <w:rPr>
                <w:rFonts w:cstheme="minorHAnsi"/>
                <w:lang w:val="nl-BE"/>
              </w:rPr>
              <w:t>VERANTWOORDING</w:t>
            </w:r>
          </w:p>
          <w:p w14:paraId="616FAFC6" w14:textId="77777777" w:rsidR="004A0FFB" w:rsidRPr="003A1654" w:rsidRDefault="004A0FFB" w:rsidP="00DF11B2">
            <w:pPr>
              <w:autoSpaceDE w:val="0"/>
              <w:autoSpaceDN w:val="0"/>
              <w:adjustRightInd w:val="0"/>
              <w:spacing w:after="0" w:line="240" w:lineRule="auto"/>
              <w:jc w:val="both"/>
              <w:rPr>
                <w:rFonts w:cstheme="minorHAnsi"/>
                <w:lang w:val="nl-BE"/>
              </w:rPr>
            </w:pPr>
          </w:p>
          <w:p w14:paraId="14B71912" w14:textId="77777777" w:rsidR="004A0FFB" w:rsidRPr="003A1654" w:rsidRDefault="004A0FFB" w:rsidP="00DF11B2">
            <w:pPr>
              <w:spacing w:after="0"/>
              <w:jc w:val="both"/>
              <w:rPr>
                <w:rFonts w:cstheme="minorHAnsi"/>
                <w:lang w:val="nl-BE"/>
              </w:rPr>
            </w:pPr>
            <w:r w:rsidRPr="003A1654">
              <w:rPr>
                <w:rFonts w:cstheme="minorHAnsi"/>
                <w:lang w:val="nl-BE"/>
              </w:rPr>
              <w:t>Dit amendement corrigeert een materiële vergissing.</w:t>
            </w:r>
          </w:p>
        </w:tc>
        <w:tc>
          <w:tcPr>
            <w:tcW w:w="5670" w:type="dxa"/>
            <w:gridSpan w:val="2"/>
            <w:shd w:val="clear" w:color="auto" w:fill="auto"/>
          </w:tcPr>
          <w:p w14:paraId="4F498EB8" w14:textId="77777777" w:rsidR="004A0FFB" w:rsidRPr="00C67846" w:rsidRDefault="004A0FFB" w:rsidP="00DF11B2">
            <w:pPr>
              <w:autoSpaceDE w:val="0"/>
              <w:autoSpaceDN w:val="0"/>
              <w:adjustRightInd w:val="0"/>
              <w:spacing w:after="0" w:line="240" w:lineRule="auto"/>
              <w:jc w:val="both"/>
              <w:rPr>
                <w:rFonts w:cstheme="minorHAnsi"/>
                <w:bCs/>
                <w:lang w:val="fr-FR"/>
              </w:rPr>
            </w:pPr>
            <w:r w:rsidRPr="00C67846">
              <w:rPr>
                <w:rFonts w:cstheme="minorHAnsi"/>
                <w:bCs/>
                <w:lang w:val="fr-FR"/>
              </w:rPr>
              <w:t xml:space="preserve">Dans l’article </w:t>
            </w:r>
            <w:proofErr w:type="gramStart"/>
            <w:r w:rsidRPr="00C67846">
              <w:rPr>
                <w:rFonts w:cstheme="minorHAnsi"/>
                <w:bCs/>
                <w:lang w:val="fr-FR"/>
              </w:rPr>
              <w:t>16:</w:t>
            </w:r>
            <w:proofErr w:type="gramEnd"/>
            <w:r w:rsidRPr="00C67846">
              <w:rPr>
                <w:rFonts w:cstheme="minorHAnsi"/>
                <w:bCs/>
                <w:lang w:val="fr-FR"/>
              </w:rPr>
              <w:t xml:space="preserve">12, proposé, remplacer les mots </w:t>
            </w:r>
            <w:r w:rsidRPr="00C67846">
              <w:rPr>
                <w:rFonts w:cstheme="minorHAnsi"/>
                <w:lang w:val="fr-FR"/>
              </w:rPr>
              <w:t xml:space="preserve">“la Communauté européenne” </w:t>
            </w:r>
            <w:r w:rsidRPr="00C67846">
              <w:rPr>
                <w:rFonts w:cstheme="minorHAnsi"/>
                <w:bCs/>
                <w:lang w:val="fr-FR"/>
              </w:rPr>
              <w:t xml:space="preserve">par les mots </w:t>
            </w:r>
            <w:r w:rsidRPr="00C67846">
              <w:rPr>
                <w:rFonts w:cstheme="minorHAnsi"/>
                <w:iCs/>
                <w:lang w:val="fr-FR"/>
              </w:rPr>
              <w:t>“l’Union européenne”</w:t>
            </w:r>
            <w:r w:rsidRPr="00C67846">
              <w:rPr>
                <w:rFonts w:cstheme="minorHAnsi"/>
                <w:bCs/>
                <w:lang w:val="fr-FR"/>
              </w:rPr>
              <w:t>.</w:t>
            </w:r>
          </w:p>
          <w:p w14:paraId="53F5181D" w14:textId="77777777" w:rsidR="004A0FFB" w:rsidRPr="003A1654" w:rsidRDefault="004A0FFB" w:rsidP="00DF11B2">
            <w:pPr>
              <w:autoSpaceDE w:val="0"/>
              <w:autoSpaceDN w:val="0"/>
              <w:adjustRightInd w:val="0"/>
              <w:spacing w:after="0" w:line="240" w:lineRule="auto"/>
              <w:jc w:val="both"/>
              <w:rPr>
                <w:rFonts w:cstheme="minorHAnsi"/>
                <w:bCs/>
                <w:lang w:val="fr-FR"/>
              </w:rPr>
            </w:pPr>
          </w:p>
          <w:p w14:paraId="7CAAE041" w14:textId="77777777" w:rsidR="004A0FFB" w:rsidRDefault="004A0FFB" w:rsidP="00DF11B2">
            <w:pPr>
              <w:autoSpaceDE w:val="0"/>
              <w:autoSpaceDN w:val="0"/>
              <w:adjustRightInd w:val="0"/>
              <w:spacing w:after="0" w:line="240" w:lineRule="auto"/>
              <w:jc w:val="both"/>
              <w:rPr>
                <w:rFonts w:cstheme="minorHAnsi"/>
                <w:lang w:val="fr-FR"/>
              </w:rPr>
            </w:pPr>
            <w:r w:rsidRPr="003A1654">
              <w:rPr>
                <w:rFonts w:cstheme="minorHAnsi"/>
                <w:lang w:val="fr-FR"/>
              </w:rPr>
              <w:t>JUSTIFICATION</w:t>
            </w:r>
          </w:p>
          <w:p w14:paraId="426A2802" w14:textId="77777777" w:rsidR="004A0FFB" w:rsidRPr="003A1654" w:rsidRDefault="004A0FFB" w:rsidP="00DF11B2">
            <w:pPr>
              <w:autoSpaceDE w:val="0"/>
              <w:autoSpaceDN w:val="0"/>
              <w:adjustRightInd w:val="0"/>
              <w:spacing w:after="0" w:line="240" w:lineRule="auto"/>
              <w:jc w:val="both"/>
              <w:rPr>
                <w:rFonts w:cstheme="minorHAnsi"/>
                <w:lang w:val="fr-FR"/>
              </w:rPr>
            </w:pPr>
          </w:p>
          <w:p w14:paraId="7D8D9B15" w14:textId="77777777" w:rsidR="004A0FFB" w:rsidRPr="00C243A0" w:rsidRDefault="004A0FFB" w:rsidP="00DF11B2">
            <w:pPr>
              <w:autoSpaceDE w:val="0"/>
              <w:autoSpaceDN w:val="0"/>
              <w:adjustRightInd w:val="0"/>
              <w:spacing w:after="0" w:line="240" w:lineRule="auto"/>
              <w:jc w:val="both"/>
              <w:rPr>
                <w:rFonts w:cstheme="minorHAnsi"/>
                <w:lang w:val="fr-FR"/>
              </w:rPr>
            </w:pPr>
            <w:r w:rsidRPr="003A1654">
              <w:rPr>
                <w:rFonts w:cstheme="minorHAnsi"/>
                <w:lang w:val="fr-FR"/>
              </w:rPr>
              <w:t>Cet amendement a pour objet de corriger une erreur</w:t>
            </w:r>
            <w:r>
              <w:rPr>
                <w:rFonts w:cstheme="minorHAnsi"/>
                <w:lang w:val="fr-FR"/>
              </w:rPr>
              <w:t xml:space="preserve"> </w:t>
            </w:r>
            <w:proofErr w:type="spellStart"/>
            <w:r w:rsidRPr="00C243A0">
              <w:rPr>
                <w:rFonts w:cstheme="minorHAnsi"/>
                <w:lang w:val="fr-FR"/>
              </w:rPr>
              <w:t>materielle</w:t>
            </w:r>
            <w:proofErr w:type="spellEnd"/>
            <w:r w:rsidRPr="00C243A0">
              <w:rPr>
                <w:rFonts w:cstheme="minorHAnsi"/>
                <w:lang w:val="fr-FR"/>
              </w:rPr>
              <w:t>.</w:t>
            </w:r>
          </w:p>
        </w:tc>
      </w:tr>
    </w:tbl>
    <w:p w14:paraId="179F1E4D" w14:textId="77777777" w:rsidR="001203BA" w:rsidRPr="00C243A0" w:rsidRDefault="001203BA" w:rsidP="001203BA">
      <w:pPr>
        <w:rPr>
          <w:lang w:val="fr-FR"/>
        </w:rPr>
      </w:pPr>
    </w:p>
    <w:p w14:paraId="4E5A3774" w14:textId="77777777" w:rsidR="00A820D7" w:rsidRPr="00C243A0" w:rsidRDefault="00A820D7">
      <w:pPr>
        <w:rPr>
          <w:lang w:val="fr-FR"/>
        </w:rPr>
      </w:pPr>
    </w:p>
    <w:sectPr w:rsidR="00A820D7" w:rsidRPr="00C243A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820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B17B4"/>
    <w:rsid w:val="000D6EAF"/>
    <w:rsid w:val="000E14C5"/>
    <w:rsid w:val="000F28E4"/>
    <w:rsid w:val="00102D66"/>
    <w:rsid w:val="00104701"/>
    <w:rsid w:val="00111D98"/>
    <w:rsid w:val="001124BA"/>
    <w:rsid w:val="00114549"/>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654"/>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0FFB"/>
    <w:rsid w:val="004A39E3"/>
    <w:rsid w:val="004A7563"/>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E45CA"/>
    <w:rsid w:val="00BF1861"/>
    <w:rsid w:val="00C01CC2"/>
    <w:rsid w:val="00C01CFA"/>
    <w:rsid w:val="00C12A40"/>
    <w:rsid w:val="00C162B3"/>
    <w:rsid w:val="00C166D1"/>
    <w:rsid w:val="00C1753D"/>
    <w:rsid w:val="00C243A0"/>
    <w:rsid w:val="00C4014C"/>
    <w:rsid w:val="00C47A8C"/>
    <w:rsid w:val="00C52F6F"/>
    <w:rsid w:val="00C67846"/>
    <w:rsid w:val="00C72E4C"/>
    <w:rsid w:val="00C80883"/>
    <w:rsid w:val="00C80921"/>
    <w:rsid w:val="00C86467"/>
    <w:rsid w:val="00C86CC5"/>
    <w:rsid w:val="00C91A38"/>
    <w:rsid w:val="00C9498E"/>
    <w:rsid w:val="00CA1557"/>
    <w:rsid w:val="00CA5454"/>
    <w:rsid w:val="00CB08CB"/>
    <w:rsid w:val="00CB210A"/>
    <w:rsid w:val="00CB6FFB"/>
    <w:rsid w:val="00CC6422"/>
    <w:rsid w:val="00D22227"/>
    <w:rsid w:val="00D42D9B"/>
    <w:rsid w:val="00D46773"/>
    <w:rsid w:val="00D637E1"/>
    <w:rsid w:val="00D66D82"/>
    <w:rsid w:val="00D751E3"/>
    <w:rsid w:val="00D8405B"/>
    <w:rsid w:val="00D931FB"/>
    <w:rsid w:val="00D96002"/>
    <w:rsid w:val="00DA0AF3"/>
    <w:rsid w:val="00DB5C97"/>
    <w:rsid w:val="00DD79BB"/>
    <w:rsid w:val="00DE1FCC"/>
    <w:rsid w:val="00DE3D90"/>
    <w:rsid w:val="00DF11B2"/>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98F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6784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67846"/>
    <w:rPr>
      <w:rFonts w:eastAsiaTheme="majorEastAsia" w:cstheme="majorBidi"/>
      <w:color w:val="000000" w:themeColor="text1"/>
      <w:szCs w:val="32"/>
    </w:rPr>
  </w:style>
  <w:style w:type="character" w:styleId="Hyperlink">
    <w:name w:val="Hyperlink"/>
    <w:basedOn w:val="Standaardalinea-lettertype"/>
    <w:uiPriority w:val="99"/>
    <w:unhideWhenUsed/>
    <w:rsid w:val="00C6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1674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2019-11-08T10:54:00Z</dcterms:created>
  <dcterms:modified xsi:type="dcterms:W3CDTF">2022-02-07T14:45:00Z</dcterms:modified>
</cp:coreProperties>
</file>