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5245"/>
        <w:gridCol w:w="567"/>
      </w:tblGrid>
      <w:tr w:rsidR="00E26E48" w:rsidRPr="00534740" w14:paraId="557D3211" w14:textId="77777777" w:rsidTr="0007035A">
        <w:tc>
          <w:tcPr>
            <w:tcW w:w="13414" w:type="dxa"/>
            <w:gridSpan w:val="3"/>
          </w:tcPr>
          <w:p w14:paraId="72EB320E" w14:textId="77777777" w:rsidR="00E26E48" w:rsidRDefault="00E26E48" w:rsidP="00474AFC">
            <w:pPr>
              <w:rPr>
                <w:b/>
                <w:sz w:val="32"/>
                <w:szCs w:val="32"/>
                <w:lang w:val="nl-BE"/>
              </w:rPr>
            </w:pPr>
            <w:r w:rsidRPr="00E26E48">
              <w:rPr>
                <w:b/>
                <w:sz w:val="32"/>
                <w:szCs w:val="32"/>
                <w:lang w:val="nl-BE"/>
              </w:rPr>
              <w:t>Afdeling 3.  - Duaal bestuur.</w:t>
            </w:r>
          </w:p>
        </w:tc>
        <w:tc>
          <w:tcPr>
            <w:tcW w:w="567" w:type="dxa"/>
            <w:shd w:val="clear" w:color="auto" w:fill="auto"/>
          </w:tcPr>
          <w:p w14:paraId="43EC2611" w14:textId="77777777" w:rsidR="00E26E48" w:rsidRPr="007B17CA" w:rsidRDefault="00E26E48" w:rsidP="00474AFC">
            <w:pPr>
              <w:jc w:val="center"/>
              <w:rPr>
                <w:rFonts w:ascii="Cambria" w:eastAsia="Calibri" w:hAnsi="Cambria" w:cs="Times New Roman"/>
                <w:b/>
                <w:bCs/>
                <w:color w:val="4F81BD"/>
                <w:sz w:val="32"/>
                <w:szCs w:val="26"/>
                <w:lang w:val="nl-NL" w:eastAsia="fr-FR"/>
              </w:rPr>
            </w:pPr>
          </w:p>
        </w:tc>
      </w:tr>
      <w:tr w:rsidR="001203BA" w:rsidRPr="00534740" w14:paraId="0BCE3A69" w14:textId="77777777" w:rsidTr="0007035A">
        <w:tc>
          <w:tcPr>
            <w:tcW w:w="2122" w:type="dxa"/>
          </w:tcPr>
          <w:p w14:paraId="3EF6927D" w14:textId="77777777" w:rsidR="001203BA" w:rsidRPr="00B07AC9" w:rsidRDefault="00C9498E" w:rsidP="00474AFC">
            <w:pPr>
              <w:rPr>
                <w:b/>
                <w:sz w:val="32"/>
                <w:szCs w:val="32"/>
                <w:lang w:val="nl-BE"/>
              </w:rPr>
            </w:pPr>
            <w:r>
              <w:rPr>
                <w:b/>
                <w:sz w:val="32"/>
                <w:szCs w:val="32"/>
                <w:lang w:val="nl-BE"/>
              </w:rPr>
              <w:t>ARTIKEL 16:</w:t>
            </w:r>
            <w:r w:rsidR="0083538F">
              <w:rPr>
                <w:b/>
                <w:sz w:val="32"/>
                <w:szCs w:val="32"/>
                <w:lang w:val="nl-BE"/>
              </w:rPr>
              <w:t>15</w:t>
            </w:r>
          </w:p>
        </w:tc>
        <w:tc>
          <w:tcPr>
            <w:tcW w:w="11859" w:type="dxa"/>
            <w:gridSpan w:val="3"/>
            <w:shd w:val="clear" w:color="auto" w:fill="auto"/>
          </w:tcPr>
          <w:p w14:paraId="145E96DC" w14:textId="77777777" w:rsidR="001203BA" w:rsidRPr="007B17CA" w:rsidRDefault="001203BA" w:rsidP="00474AFC">
            <w:pPr>
              <w:jc w:val="center"/>
              <w:rPr>
                <w:rFonts w:ascii="Cambria" w:eastAsia="Calibri" w:hAnsi="Cambria" w:cs="Times New Roman"/>
                <w:b/>
                <w:bCs/>
                <w:color w:val="4F81BD"/>
                <w:sz w:val="32"/>
                <w:szCs w:val="26"/>
                <w:lang w:val="nl-NL" w:eastAsia="fr-FR"/>
              </w:rPr>
            </w:pPr>
          </w:p>
        </w:tc>
      </w:tr>
      <w:tr w:rsidR="00DE59E1" w:rsidRPr="00534740" w14:paraId="7548D89E" w14:textId="77777777" w:rsidTr="0007035A">
        <w:tc>
          <w:tcPr>
            <w:tcW w:w="2122" w:type="dxa"/>
          </w:tcPr>
          <w:p w14:paraId="01A38260" w14:textId="77777777" w:rsidR="00DE59E1" w:rsidRDefault="00DE59E1" w:rsidP="00474AFC">
            <w:pPr>
              <w:rPr>
                <w:b/>
                <w:sz w:val="32"/>
                <w:szCs w:val="32"/>
                <w:lang w:val="nl-BE"/>
              </w:rPr>
            </w:pPr>
          </w:p>
        </w:tc>
        <w:tc>
          <w:tcPr>
            <w:tcW w:w="11859" w:type="dxa"/>
            <w:gridSpan w:val="3"/>
            <w:shd w:val="clear" w:color="auto" w:fill="auto"/>
          </w:tcPr>
          <w:p w14:paraId="78CD4123" w14:textId="77777777" w:rsidR="00DE59E1" w:rsidRPr="007B17CA" w:rsidRDefault="00DE59E1" w:rsidP="00474AFC">
            <w:pPr>
              <w:jc w:val="center"/>
              <w:rPr>
                <w:rFonts w:ascii="Cambria" w:eastAsia="Calibri" w:hAnsi="Cambria" w:cs="Times New Roman"/>
                <w:b/>
                <w:bCs/>
                <w:color w:val="4F81BD"/>
                <w:sz w:val="32"/>
                <w:szCs w:val="26"/>
                <w:lang w:val="nl-NL" w:eastAsia="fr-FR"/>
              </w:rPr>
            </w:pPr>
          </w:p>
        </w:tc>
      </w:tr>
      <w:tr w:rsidR="0083538F" w:rsidRPr="0007035A" w14:paraId="44731FE1" w14:textId="77777777" w:rsidTr="0007035A">
        <w:trPr>
          <w:trHeight w:val="6793"/>
        </w:trPr>
        <w:tc>
          <w:tcPr>
            <w:tcW w:w="2122" w:type="dxa"/>
          </w:tcPr>
          <w:p w14:paraId="06AB295A" w14:textId="77777777" w:rsidR="0083538F" w:rsidRDefault="0083538F" w:rsidP="00474AFC">
            <w:pPr>
              <w:spacing w:after="0" w:line="240" w:lineRule="auto"/>
              <w:rPr>
                <w:rFonts w:cs="Calibri"/>
                <w:lang w:val="nl-BE"/>
              </w:rPr>
            </w:pPr>
            <w:r>
              <w:rPr>
                <w:rFonts w:cs="Calibri"/>
                <w:lang w:val="nl-BE"/>
              </w:rPr>
              <w:t>WVV</w:t>
            </w:r>
          </w:p>
        </w:tc>
        <w:tc>
          <w:tcPr>
            <w:tcW w:w="6047" w:type="dxa"/>
            <w:shd w:val="clear" w:color="auto" w:fill="auto"/>
          </w:tcPr>
          <w:p w14:paraId="6F5E1039" w14:textId="77777777" w:rsidR="0083538F" w:rsidRDefault="0083538F" w:rsidP="00474AFC">
            <w:pPr>
              <w:spacing w:after="0" w:line="240" w:lineRule="auto"/>
              <w:jc w:val="both"/>
              <w:rPr>
                <w:rFonts w:cs="Calibri"/>
                <w:lang w:val="nl-BE"/>
              </w:rPr>
            </w:pPr>
            <w:r w:rsidRPr="00593151">
              <w:rPr>
                <w:rFonts w:cs="Calibri"/>
                <w:lang w:val="nl-BE"/>
              </w:rPr>
              <w:t>§ 1. De bepalingen van deel 2, boek 7, titel 4, hoofdstuk 1, afdelingen 3 en 4 zijn van toepassing op de Europese coöperatieve vennootschap die voor een duaal bestuur kiest, met uitzondering van de bepalingen die specifiek de genoteerde naamloze vennootschappen betreffen, en tenzij in zoverre er in dit boek van wordt afgeweken.</w:t>
            </w:r>
          </w:p>
          <w:p w14:paraId="06A15332" w14:textId="77777777" w:rsidR="0083538F" w:rsidRDefault="0083538F" w:rsidP="00474AFC">
            <w:pPr>
              <w:spacing w:after="0" w:line="240" w:lineRule="auto"/>
              <w:jc w:val="both"/>
              <w:rPr>
                <w:rFonts w:cs="Calibri"/>
                <w:lang w:val="nl-BE"/>
              </w:rPr>
            </w:pPr>
          </w:p>
          <w:p w14:paraId="76015BA2" w14:textId="77777777" w:rsidR="0083538F" w:rsidRDefault="0083538F" w:rsidP="00474AFC">
            <w:pPr>
              <w:spacing w:after="0" w:line="240" w:lineRule="auto"/>
              <w:jc w:val="both"/>
              <w:rPr>
                <w:rFonts w:cs="Calibri"/>
                <w:lang w:val="nl-BE"/>
              </w:rPr>
            </w:pPr>
            <w:r w:rsidRPr="00593151">
              <w:rPr>
                <w:rFonts w:cs="Calibri"/>
                <w:lang w:val="nl-BE"/>
              </w:rPr>
              <w:t>§ 2. Overeenkomstig artikel 39, lid 1, van verordening (EG) nr. 1435/2003, oefent, in een Europese coöperatieve vennootschap met een duaal bestuur, de directieraad alle bevoegdheden uit die overeenkomstig artikel 7:96 in een duaal stelsel aan de raad van toezicht toekomen, met uitzondering van het toezicht op de directieraad.</w:t>
            </w:r>
          </w:p>
          <w:p w14:paraId="2D255814" w14:textId="77777777" w:rsidR="0083538F" w:rsidRDefault="0083538F" w:rsidP="00474AFC">
            <w:pPr>
              <w:spacing w:after="0" w:line="240" w:lineRule="auto"/>
              <w:jc w:val="both"/>
              <w:rPr>
                <w:rFonts w:cs="Calibri"/>
                <w:lang w:val="nl-BE"/>
              </w:rPr>
            </w:pPr>
          </w:p>
          <w:p w14:paraId="0CB0C56B" w14:textId="77777777" w:rsidR="0083538F" w:rsidRDefault="0083538F" w:rsidP="00474AFC">
            <w:pPr>
              <w:spacing w:after="0" w:line="240" w:lineRule="auto"/>
              <w:jc w:val="both"/>
              <w:rPr>
                <w:rFonts w:cs="Calibri"/>
                <w:lang w:val="nl-BE"/>
              </w:rPr>
            </w:pPr>
            <w:r w:rsidRPr="00593151">
              <w:rPr>
                <w:rFonts w:cs="Calibri"/>
                <w:lang w:val="nl-BE"/>
              </w:rPr>
              <w:t>De raad van toezicht houdt uitsluitend toezicht op het bestuur gevoerd door de directieraad. Hij mag zich op geen enkele wijze met het bestuur van de vennootschap bemoeien en kan de vennootschap niet jegens derden vertegenwoordigen. De raad van toezicht vertegenwoordigt evenwel de vennootschap tegenover de directieraad of diens leden in geschillen en voor het aangaan van overeenkomsten.</w:t>
            </w:r>
          </w:p>
          <w:p w14:paraId="74925EA7" w14:textId="77777777" w:rsidR="0083538F" w:rsidRDefault="0083538F" w:rsidP="00474AFC">
            <w:pPr>
              <w:spacing w:after="0" w:line="240" w:lineRule="auto"/>
              <w:jc w:val="both"/>
              <w:rPr>
                <w:rFonts w:cs="Calibri"/>
                <w:lang w:val="nl-BE"/>
              </w:rPr>
            </w:pPr>
          </w:p>
          <w:p w14:paraId="2E462322" w14:textId="77777777" w:rsidR="0083538F" w:rsidRPr="00593151" w:rsidRDefault="0083538F" w:rsidP="00474AFC">
            <w:pPr>
              <w:spacing w:after="0" w:line="240" w:lineRule="auto"/>
              <w:jc w:val="both"/>
              <w:rPr>
                <w:rFonts w:cs="Calibri"/>
                <w:lang w:val="nl-BE"/>
              </w:rPr>
            </w:pPr>
            <w:r w:rsidRPr="00593151">
              <w:rPr>
                <w:rFonts w:cs="Calibri"/>
                <w:lang w:val="nl-BE"/>
              </w:rPr>
              <w:t>De statuten kunnen evenwel de handelingen bepalen waarvoor de directieraad de goedkeuring van de raad van toezicht moet krĳgen</w:t>
            </w:r>
            <w:r>
              <w:rPr>
                <w:rFonts w:cs="Calibri"/>
                <w:lang w:val="nl-BE"/>
              </w:rPr>
              <w:t>.</w:t>
            </w:r>
          </w:p>
        </w:tc>
        <w:tc>
          <w:tcPr>
            <w:tcW w:w="5812" w:type="dxa"/>
            <w:gridSpan w:val="2"/>
            <w:shd w:val="clear" w:color="auto" w:fill="auto"/>
          </w:tcPr>
          <w:p w14:paraId="53BE8992" w14:textId="77777777" w:rsidR="0083538F" w:rsidRPr="0083538F" w:rsidRDefault="0083538F" w:rsidP="00474AFC">
            <w:pPr>
              <w:spacing w:after="0" w:line="240" w:lineRule="auto"/>
              <w:jc w:val="both"/>
              <w:rPr>
                <w:rFonts w:cs="Calibri"/>
                <w:lang w:val="fr-BE"/>
              </w:rPr>
            </w:pPr>
            <w:r w:rsidRPr="00593151">
              <w:rPr>
                <w:rFonts w:cs="Calibri"/>
                <w:lang w:val="fr-FR"/>
              </w:rPr>
              <w:t>§ 1</w:t>
            </w:r>
            <w:r w:rsidRPr="00593151">
              <w:rPr>
                <w:rFonts w:cs="Calibri"/>
                <w:vertAlign w:val="superscript"/>
                <w:lang w:val="fr-FR"/>
              </w:rPr>
              <w:t>er</w:t>
            </w:r>
            <w:r w:rsidRPr="00593151">
              <w:rPr>
                <w:rFonts w:cs="Calibri"/>
                <w:lang w:val="fr-FR"/>
              </w:rPr>
              <w:t>. Les dispositions de la deuxième partie, livre 7, titre 4, chapitre 1</w:t>
            </w:r>
            <w:r w:rsidRPr="00593151">
              <w:rPr>
                <w:rFonts w:cs="Calibri"/>
                <w:vertAlign w:val="superscript"/>
                <w:lang w:val="fr-FR"/>
              </w:rPr>
              <w:t>er</w:t>
            </w:r>
            <w:r w:rsidRPr="00593151">
              <w:rPr>
                <w:rFonts w:cs="Calibri"/>
                <w:lang w:val="fr-FR"/>
              </w:rPr>
              <w:t>, sections 3 et 4, s’appliquent à la société coopérative européenne qui opte pour une administration duale, sauf les dispositions qui concernent spécifiquement les sociétés anonymes cotées et sauf dans la mesure où il y est dérogé par le présent livre</w:t>
            </w:r>
            <w:r>
              <w:rPr>
                <w:rFonts w:cs="Calibri"/>
                <w:lang w:val="fr-FR"/>
              </w:rPr>
              <w:t>.</w:t>
            </w:r>
          </w:p>
          <w:p w14:paraId="4FB0850C" w14:textId="77777777" w:rsidR="0083538F" w:rsidRDefault="0083538F" w:rsidP="00474AFC">
            <w:pPr>
              <w:spacing w:after="0" w:line="240" w:lineRule="auto"/>
              <w:jc w:val="both"/>
              <w:rPr>
                <w:rFonts w:cs="Calibri"/>
                <w:lang w:val="fr-FR"/>
              </w:rPr>
            </w:pPr>
          </w:p>
          <w:p w14:paraId="41ED037D" w14:textId="77777777" w:rsidR="0083538F" w:rsidRDefault="0083538F" w:rsidP="00474AFC">
            <w:pPr>
              <w:spacing w:after="0" w:line="240" w:lineRule="auto"/>
              <w:jc w:val="both"/>
              <w:rPr>
                <w:rFonts w:cs="Calibri"/>
                <w:lang w:val="fr-FR"/>
              </w:rPr>
            </w:pPr>
            <w:r w:rsidRPr="00593151">
              <w:rPr>
                <w:rFonts w:cs="Calibri"/>
                <w:lang w:val="fr-FR"/>
              </w:rPr>
              <w:t>§ 2. Conformément à l’article 39, § 1</w:t>
            </w:r>
            <w:r w:rsidRPr="00593151">
              <w:rPr>
                <w:rFonts w:cs="Calibri"/>
                <w:vertAlign w:val="superscript"/>
                <w:lang w:val="fr-FR"/>
              </w:rPr>
              <w:t>er</w:t>
            </w:r>
            <w:r w:rsidRPr="00593151">
              <w:rPr>
                <w:rFonts w:cs="Calibri"/>
                <w:lang w:val="fr-FR"/>
              </w:rPr>
              <w:t xml:space="preserve">, du règlement (CE) n° 1435/2003, le conseil de direction d’une société coopérative européenne à administration duale exerce tous les pouvoirs qui, conformément à l'article </w:t>
            </w:r>
            <w:proofErr w:type="gramStart"/>
            <w:r w:rsidRPr="00593151">
              <w:rPr>
                <w:rFonts w:cs="Calibri"/>
                <w:lang w:val="fr-FR"/>
              </w:rPr>
              <w:t>7:</w:t>
            </w:r>
            <w:proofErr w:type="gramEnd"/>
            <w:r w:rsidRPr="00593151">
              <w:rPr>
                <w:rFonts w:cs="Calibri"/>
                <w:lang w:val="fr-FR"/>
              </w:rPr>
              <w:t>96, incombent au conseil de surveillance dans un système dual, à l’exception de la surveillance du conseil de direction</w:t>
            </w:r>
            <w:r>
              <w:rPr>
                <w:rFonts w:cs="Calibri"/>
                <w:lang w:val="fr-FR"/>
              </w:rPr>
              <w:t>.</w:t>
            </w:r>
          </w:p>
          <w:p w14:paraId="3CAB9BFE" w14:textId="77777777" w:rsidR="0083538F" w:rsidRDefault="0083538F" w:rsidP="00474AFC">
            <w:pPr>
              <w:spacing w:after="0" w:line="240" w:lineRule="auto"/>
              <w:jc w:val="both"/>
              <w:rPr>
                <w:rFonts w:cs="Calibri"/>
                <w:lang w:val="fr-FR"/>
              </w:rPr>
            </w:pPr>
          </w:p>
          <w:p w14:paraId="1E8C20FD" w14:textId="77777777" w:rsidR="0083538F" w:rsidRDefault="0083538F" w:rsidP="00474AFC">
            <w:pPr>
              <w:spacing w:after="0" w:line="240" w:lineRule="auto"/>
              <w:jc w:val="both"/>
              <w:rPr>
                <w:rFonts w:cs="Calibri"/>
                <w:lang w:val="fr-FR"/>
              </w:rPr>
            </w:pPr>
            <w:r w:rsidRPr="00593151">
              <w:rPr>
                <w:rFonts w:cs="Calibri"/>
                <w:lang w:val="fr-FR"/>
              </w:rPr>
              <w:t>Le conseil de surveillance contrôle exclusivement la gestion assurée par le conseil de direction. Il ne peut en aucune manière s’ingérer dans l’administration de la société ni représenter la société à l’égard des tiers. Le conseil de surveillance représente toutefois la société à l’égard du conseil de direction ou des membres qui le composent, en cas de litige ou lors de la conclusion de contrats</w:t>
            </w:r>
            <w:r>
              <w:rPr>
                <w:rFonts w:cs="Calibri"/>
                <w:lang w:val="fr-FR"/>
              </w:rPr>
              <w:t>.</w:t>
            </w:r>
          </w:p>
          <w:p w14:paraId="00DA48DB" w14:textId="77777777" w:rsidR="0083538F" w:rsidRDefault="0083538F" w:rsidP="00474AFC">
            <w:pPr>
              <w:spacing w:after="0" w:line="240" w:lineRule="auto"/>
              <w:jc w:val="both"/>
              <w:rPr>
                <w:rFonts w:cs="Calibri"/>
                <w:lang w:val="fr-FR"/>
              </w:rPr>
            </w:pPr>
          </w:p>
          <w:p w14:paraId="51299CD9" w14:textId="77777777" w:rsidR="0083538F" w:rsidRPr="00474AFC" w:rsidRDefault="0083538F" w:rsidP="00474AFC">
            <w:pPr>
              <w:spacing w:after="0" w:line="240" w:lineRule="auto"/>
              <w:jc w:val="both"/>
              <w:rPr>
                <w:rFonts w:cs="Calibri"/>
                <w:lang w:val="fr-FR"/>
              </w:rPr>
            </w:pPr>
            <w:r w:rsidRPr="00593151">
              <w:rPr>
                <w:rFonts w:cs="Calibri"/>
                <w:lang w:val="fr-FR"/>
              </w:rPr>
              <w:t>Les statuts peuvent toutefois déterminer les opérations pour lesquelles le conseil de direction doit recevoir l’autorisation du conseil de surveillance</w:t>
            </w:r>
            <w:r>
              <w:rPr>
                <w:rFonts w:cs="Calibri"/>
                <w:lang w:val="fr-FR"/>
              </w:rPr>
              <w:t>.</w:t>
            </w:r>
          </w:p>
        </w:tc>
      </w:tr>
      <w:tr w:rsidR="00DF1BF0" w:rsidRPr="0007035A" w14:paraId="63753D91" w14:textId="77777777" w:rsidTr="00DF1BF0">
        <w:trPr>
          <w:trHeight w:val="438"/>
        </w:trPr>
        <w:tc>
          <w:tcPr>
            <w:tcW w:w="2122" w:type="dxa"/>
          </w:tcPr>
          <w:p w14:paraId="0F9AC106" w14:textId="77777777" w:rsidR="00DF1BF0" w:rsidRPr="00394E72" w:rsidRDefault="00DF1BF0" w:rsidP="00E9206C">
            <w:pPr>
              <w:spacing w:after="0"/>
            </w:pPr>
            <w:proofErr w:type="spellStart"/>
            <w:r w:rsidRPr="00394E72">
              <w:t>Ontwerp</w:t>
            </w:r>
            <w:proofErr w:type="spellEnd"/>
          </w:p>
        </w:tc>
        <w:tc>
          <w:tcPr>
            <w:tcW w:w="6047" w:type="dxa"/>
            <w:shd w:val="clear" w:color="auto" w:fill="auto"/>
          </w:tcPr>
          <w:p w14:paraId="3EEBC531" w14:textId="77777777" w:rsidR="00DF1BF0" w:rsidRPr="00394E72" w:rsidRDefault="00DF1BF0" w:rsidP="00E9206C">
            <w:pPr>
              <w:spacing w:after="0"/>
            </w:pPr>
            <w:proofErr w:type="spellStart"/>
            <w:r w:rsidRPr="00394E72">
              <w:t>Geen</w:t>
            </w:r>
            <w:proofErr w:type="spellEnd"/>
            <w:r w:rsidRPr="00394E72">
              <w:t xml:space="preserve"> </w:t>
            </w:r>
            <w:proofErr w:type="spellStart"/>
            <w:r w:rsidRPr="00394E72">
              <w:t>artikel</w:t>
            </w:r>
            <w:proofErr w:type="spellEnd"/>
            <w:r>
              <w:t>.</w:t>
            </w:r>
          </w:p>
        </w:tc>
        <w:tc>
          <w:tcPr>
            <w:tcW w:w="5812" w:type="dxa"/>
            <w:gridSpan w:val="2"/>
            <w:shd w:val="clear" w:color="auto" w:fill="auto"/>
          </w:tcPr>
          <w:p w14:paraId="75F8C39C" w14:textId="77777777" w:rsidR="00DF1BF0" w:rsidRDefault="00DF1BF0" w:rsidP="00E9206C">
            <w:pPr>
              <w:spacing w:after="0"/>
            </w:pPr>
            <w:r w:rsidRPr="00394E72">
              <w:t xml:space="preserve">Pas </w:t>
            </w:r>
            <w:proofErr w:type="spellStart"/>
            <w:r w:rsidRPr="00394E72">
              <w:t>d’article</w:t>
            </w:r>
            <w:proofErr w:type="spellEnd"/>
            <w:r>
              <w:t>.</w:t>
            </w:r>
          </w:p>
        </w:tc>
      </w:tr>
      <w:tr w:rsidR="00DF1BF0" w:rsidRPr="00491AE1" w14:paraId="638E4CD1" w14:textId="77777777" w:rsidTr="0007035A">
        <w:trPr>
          <w:trHeight w:val="416"/>
        </w:trPr>
        <w:tc>
          <w:tcPr>
            <w:tcW w:w="2122" w:type="dxa"/>
          </w:tcPr>
          <w:p w14:paraId="23C7D44C" w14:textId="77777777" w:rsidR="00DF1BF0" w:rsidRPr="007351E2" w:rsidRDefault="00DF1BF0" w:rsidP="00474AFC">
            <w:pPr>
              <w:spacing w:after="0"/>
            </w:pPr>
            <w:proofErr w:type="spellStart"/>
            <w:r>
              <w:lastRenderedPageBreak/>
              <w:t>Vooro</w:t>
            </w:r>
            <w:r w:rsidRPr="007351E2">
              <w:t>ntwerp</w:t>
            </w:r>
            <w:proofErr w:type="spellEnd"/>
          </w:p>
        </w:tc>
        <w:tc>
          <w:tcPr>
            <w:tcW w:w="6047" w:type="dxa"/>
            <w:shd w:val="clear" w:color="auto" w:fill="auto"/>
          </w:tcPr>
          <w:p w14:paraId="44281B4F" w14:textId="77777777" w:rsidR="00DF1BF0" w:rsidRPr="007351E2" w:rsidRDefault="00DF1BF0" w:rsidP="00474AFC">
            <w:pPr>
              <w:spacing w:after="0"/>
            </w:pPr>
            <w:proofErr w:type="spellStart"/>
            <w:r w:rsidRPr="007351E2">
              <w:t>Geen</w:t>
            </w:r>
            <w:proofErr w:type="spellEnd"/>
            <w:r w:rsidRPr="007351E2">
              <w:t xml:space="preserve"> </w:t>
            </w:r>
            <w:proofErr w:type="spellStart"/>
            <w:r w:rsidRPr="007351E2">
              <w:t>artikel</w:t>
            </w:r>
            <w:proofErr w:type="spellEnd"/>
            <w:r>
              <w:t>.</w:t>
            </w:r>
          </w:p>
        </w:tc>
        <w:tc>
          <w:tcPr>
            <w:tcW w:w="5812" w:type="dxa"/>
            <w:gridSpan w:val="2"/>
            <w:shd w:val="clear" w:color="auto" w:fill="auto"/>
          </w:tcPr>
          <w:p w14:paraId="51AC8C46" w14:textId="77777777" w:rsidR="00DF1BF0" w:rsidRDefault="00DF1BF0" w:rsidP="00474AFC">
            <w:pPr>
              <w:spacing w:after="0"/>
            </w:pPr>
            <w:r w:rsidRPr="007351E2">
              <w:t xml:space="preserve">Pas </w:t>
            </w:r>
            <w:proofErr w:type="spellStart"/>
            <w:r w:rsidRPr="007351E2">
              <w:t>d’article</w:t>
            </w:r>
            <w:proofErr w:type="spellEnd"/>
            <w:r>
              <w:t>.</w:t>
            </w:r>
          </w:p>
        </w:tc>
      </w:tr>
      <w:tr w:rsidR="00DF1BF0" w:rsidRPr="00DF1BF0" w14:paraId="6E21788B" w14:textId="77777777" w:rsidTr="0007035A">
        <w:trPr>
          <w:trHeight w:val="424"/>
        </w:trPr>
        <w:tc>
          <w:tcPr>
            <w:tcW w:w="2122" w:type="dxa"/>
          </w:tcPr>
          <w:p w14:paraId="6525E3A3" w14:textId="77777777" w:rsidR="00DF1BF0" w:rsidRPr="00394E72" w:rsidRDefault="00DF1BF0" w:rsidP="00474AFC">
            <w:pPr>
              <w:spacing w:after="0" w:line="240" w:lineRule="auto"/>
              <w:jc w:val="both"/>
            </w:pPr>
            <w:proofErr w:type="spellStart"/>
            <w:r>
              <w:t>MvT</w:t>
            </w:r>
            <w:proofErr w:type="spellEnd"/>
          </w:p>
        </w:tc>
        <w:tc>
          <w:tcPr>
            <w:tcW w:w="6047" w:type="dxa"/>
            <w:shd w:val="clear" w:color="auto" w:fill="auto"/>
          </w:tcPr>
          <w:p w14:paraId="799ACBC3" w14:textId="77777777" w:rsidR="00DF1BF0" w:rsidRPr="00E26E48" w:rsidRDefault="00DF1BF0" w:rsidP="00474AFC">
            <w:pPr>
              <w:spacing w:after="0" w:line="240" w:lineRule="auto"/>
              <w:jc w:val="both"/>
              <w:rPr>
                <w:lang w:val="nl-BE"/>
              </w:rPr>
            </w:pPr>
            <w:r w:rsidRPr="00E26E48">
              <w:rPr>
                <w:lang w:val="nl-BE"/>
              </w:rPr>
              <w:t>Voor het duale bestuur wordt ervoor geopteerd de regels van de SE over te nemen. In een CV bestaat er immers geen bij de wet geregeld duaal bestuur.  Het duale bestuur van de SE houdt rekening met de vereisten die het Europees recht dwingend aan een duaal stelsel voor een Europese recht</w:t>
            </w:r>
            <w:r>
              <w:rPr>
                <w:lang w:val="nl-BE"/>
              </w:rPr>
              <w:t>svorm stelt.</w:t>
            </w:r>
          </w:p>
          <w:p w14:paraId="4287F917" w14:textId="77777777" w:rsidR="00DF1BF0" w:rsidRPr="00E26E48" w:rsidRDefault="00DF1BF0" w:rsidP="00474AFC">
            <w:pPr>
              <w:spacing w:after="0" w:line="240" w:lineRule="auto"/>
              <w:jc w:val="both"/>
              <w:rPr>
                <w:lang w:val="nl-BE"/>
              </w:rPr>
            </w:pPr>
            <w:r w:rsidRPr="00E26E48">
              <w:rPr>
                <w:lang w:val="nl-BE"/>
              </w:rPr>
              <w:t>Gelet op de in artikel 16:4 gemaakte keuze, is het ook hier aangewezen ook de regel neergelegd in artikel 39, lid 3, van verordening (EU) nr. 1435/2003 in herinnering te brengen.</w:t>
            </w:r>
          </w:p>
        </w:tc>
        <w:tc>
          <w:tcPr>
            <w:tcW w:w="5812" w:type="dxa"/>
            <w:gridSpan w:val="2"/>
            <w:shd w:val="clear" w:color="auto" w:fill="auto"/>
          </w:tcPr>
          <w:p w14:paraId="756BCDEE" w14:textId="77777777" w:rsidR="00DF1BF0" w:rsidRPr="00E26E48" w:rsidRDefault="00DF1BF0" w:rsidP="00474AFC">
            <w:pPr>
              <w:spacing w:after="0" w:line="240" w:lineRule="auto"/>
              <w:jc w:val="both"/>
              <w:rPr>
                <w:lang w:val="fr-FR"/>
              </w:rPr>
            </w:pPr>
            <w:r w:rsidRPr="00E26E48">
              <w:rPr>
                <w:lang w:val="fr-FR"/>
              </w:rPr>
              <w:t xml:space="preserve">Pour l’administration duale, il a été décidé de reprendre les règles de la SE. Il n’existe effectivement pas d’administration duale organisée par la loi dans une SC.  L’administration duale de la SE tient compte des exigences que le droit européen fixe impérativement en matière de système duale pour une forme légale </w:t>
            </w:r>
            <w:r>
              <w:rPr>
                <w:lang w:val="fr-FR"/>
              </w:rPr>
              <w:t>européenne.</w:t>
            </w:r>
          </w:p>
          <w:p w14:paraId="43C816DA" w14:textId="77777777" w:rsidR="00DF1BF0" w:rsidRPr="00E26E48" w:rsidRDefault="00DF1BF0" w:rsidP="00474AFC">
            <w:pPr>
              <w:spacing w:after="0" w:line="240" w:lineRule="auto"/>
              <w:jc w:val="both"/>
              <w:rPr>
                <w:lang w:val="fr-FR"/>
              </w:rPr>
            </w:pPr>
            <w:r w:rsidRPr="00E26E48">
              <w:rPr>
                <w:lang w:val="fr-FR"/>
              </w:rPr>
              <w:t xml:space="preserve">Vu le choix opéré à l’article </w:t>
            </w:r>
            <w:proofErr w:type="gramStart"/>
            <w:r w:rsidRPr="00E26E48">
              <w:rPr>
                <w:lang w:val="fr-FR"/>
              </w:rPr>
              <w:t>16:</w:t>
            </w:r>
            <w:proofErr w:type="gramEnd"/>
            <w:r w:rsidRPr="00E26E48">
              <w:rPr>
                <w:lang w:val="fr-FR"/>
              </w:rPr>
              <w:t>4, il est également indiqué en l’espèce de rappeler la règle inscrite à l’article 39, § 3, du règlement (CE) n° 1435/2003.</w:t>
            </w:r>
          </w:p>
        </w:tc>
      </w:tr>
      <w:tr w:rsidR="00DF1BF0" w:rsidRPr="00E26E48" w14:paraId="7F9FF42A" w14:textId="77777777" w:rsidTr="0007035A">
        <w:trPr>
          <w:trHeight w:val="424"/>
        </w:trPr>
        <w:tc>
          <w:tcPr>
            <w:tcW w:w="2122" w:type="dxa"/>
          </w:tcPr>
          <w:p w14:paraId="151A540D" w14:textId="77777777" w:rsidR="00DF1BF0" w:rsidRDefault="00DF1BF0" w:rsidP="00474AFC">
            <w:pPr>
              <w:spacing w:after="0" w:line="240" w:lineRule="auto"/>
              <w:jc w:val="both"/>
            </w:pPr>
            <w:proofErr w:type="spellStart"/>
            <w:r>
              <w:t>RvSt</w:t>
            </w:r>
            <w:proofErr w:type="spellEnd"/>
          </w:p>
        </w:tc>
        <w:tc>
          <w:tcPr>
            <w:tcW w:w="6047" w:type="dxa"/>
            <w:shd w:val="clear" w:color="auto" w:fill="auto"/>
          </w:tcPr>
          <w:p w14:paraId="2E172B66" w14:textId="77777777" w:rsidR="00DF1BF0" w:rsidRPr="00E26E48" w:rsidRDefault="00DF1BF0" w:rsidP="00474AFC">
            <w:pPr>
              <w:spacing w:after="0" w:line="240" w:lineRule="auto"/>
              <w:jc w:val="both"/>
              <w:rPr>
                <w:lang w:val="nl-BE"/>
              </w:rPr>
            </w:pPr>
            <w:r>
              <w:rPr>
                <w:lang w:val="nl-BE"/>
              </w:rPr>
              <w:t>Geen opmerkingen.</w:t>
            </w:r>
          </w:p>
        </w:tc>
        <w:tc>
          <w:tcPr>
            <w:tcW w:w="5812" w:type="dxa"/>
            <w:gridSpan w:val="2"/>
            <w:shd w:val="clear" w:color="auto" w:fill="auto"/>
          </w:tcPr>
          <w:p w14:paraId="49E8B621" w14:textId="77777777" w:rsidR="00DF1BF0" w:rsidRPr="00E26E48" w:rsidRDefault="00DF1BF0" w:rsidP="00474AFC">
            <w:pPr>
              <w:spacing w:after="0" w:line="240" w:lineRule="auto"/>
              <w:jc w:val="both"/>
              <w:rPr>
                <w:lang w:val="fr-FR"/>
              </w:rPr>
            </w:pPr>
            <w:r>
              <w:rPr>
                <w:lang w:val="fr-FR"/>
              </w:rPr>
              <w:t>Pas de remarques.</w:t>
            </w:r>
          </w:p>
        </w:tc>
      </w:tr>
      <w:tr w:rsidR="00DF1BF0" w:rsidRPr="0007035A" w14:paraId="6F834AC7" w14:textId="77777777" w:rsidTr="00A30A4B">
        <w:trPr>
          <w:trHeight w:val="4001"/>
        </w:trPr>
        <w:tc>
          <w:tcPr>
            <w:tcW w:w="2122" w:type="dxa"/>
          </w:tcPr>
          <w:p w14:paraId="3666E9D7" w14:textId="77777777" w:rsidR="00DF1BF0" w:rsidRPr="00E26E48" w:rsidRDefault="00DF1BF0" w:rsidP="00A30A4B">
            <w:pPr>
              <w:pStyle w:val="Kop1"/>
            </w:pPr>
            <w:proofErr w:type="spellStart"/>
            <w:r w:rsidRPr="00E26E48">
              <w:t>Amendement</w:t>
            </w:r>
            <w:proofErr w:type="spellEnd"/>
            <w:r w:rsidRPr="00E26E48">
              <w:t xml:space="preserve"> 308</w:t>
            </w:r>
          </w:p>
        </w:tc>
        <w:tc>
          <w:tcPr>
            <w:tcW w:w="6047" w:type="dxa"/>
            <w:shd w:val="clear" w:color="auto" w:fill="auto"/>
          </w:tcPr>
          <w:p w14:paraId="2525BD3E" w14:textId="77777777" w:rsidR="00DF1BF0" w:rsidRPr="00A30A4B" w:rsidRDefault="00DF1BF0" w:rsidP="00474AFC">
            <w:pPr>
              <w:autoSpaceDE w:val="0"/>
              <w:autoSpaceDN w:val="0"/>
              <w:adjustRightInd w:val="0"/>
              <w:spacing w:after="0" w:line="240" w:lineRule="auto"/>
              <w:jc w:val="both"/>
              <w:rPr>
                <w:rFonts w:cstheme="minorHAnsi"/>
                <w:bCs/>
                <w:lang w:val="nl-BE"/>
              </w:rPr>
            </w:pPr>
            <w:r w:rsidRPr="00A30A4B">
              <w:rPr>
                <w:rFonts w:cstheme="minorHAnsi"/>
                <w:bCs/>
                <w:lang w:val="nl-BE"/>
              </w:rPr>
              <w:t>In het voorgestelde artikel 16:16, de volgende wijzigingen aanbrengen:</w:t>
            </w:r>
          </w:p>
          <w:p w14:paraId="33D9A8B9" w14:textId="77777777" w:rsidR="00DF1BF0" w:rsidRPr="00A30A4B" w:rsidRDefault="00DF1BF0" w:rsidP="00474AFC">
            <w:pPr>
              <w:autoSpaceDE w:val="0"/>
              <w:autoSpaceDN w:val="0"/>
              <w:adjustRightInd w:val="0"/>
              <w:spacing w:after="0" w:line="240" w:lineRule="auto"/>
              <w:jc w:val="both"/>
              <w:rPr>
                <w:rFonts w:cstheme="minorHAnsi"/>
                <w:bCs/>
                <w:lang w:val="nl-BE"/>
              </w:rPr>
            </w:pPr>
          </w:p>
          <w:p w14:paraId="402A99B3" w14:textId="77777777" w:rsidR="00DF1BF0" w:rsidRPr="00A30A4B" w:rsidRDefault="00DF1BF0" w:rsidP="00474AFC">
            <w:pPr>
              <w:autoSpaceDE w:val="0"/>
              <w:autoSpaceDN w:val="0"/>
              <w:adjustRightInd w:val="0"/>
              <w:spacing w:after="0" w:line="240" w:lineRule="auto"/>
              <w:jc w:val="both"/>
              <w:rPr>
                <w:rFonts w:cstheme="minorHAnsi"/>
                <w:bCs/>
                <w:lang w:val="nl-BE"/>
              </w:rPr>
            </w:pPr>
            <w:r w:rsidRPr="00A30A4B">
              <w:rPr>
                <w:rFonts w:cstheme="minorHAnsi"/>
                <w:bCs/>
                <w:lang w:val="nl-BE"/>
              </w:rPr>
              <w:t xml:space="preserve">1° in § 2 de woorden </w:t>
            </w:r>
            <w:r w:rsidRPr="00A30A4B">
              <w:rPr>
                <w:rFonts w:cstheme="minorHAnsi"/>
                <w:lang w:val="nl-BE"/>
              </w:rPr>
              <w:t xml:space="preserve">“artikel 7:96” </w:t>
            </w:r>
            <w:r w:rsidRPr="00A30A4B">
              <w:rPr>
                <w:rFonts w:cstheme="minorHAnsi"/>
                <w:bCs/>
                <w:lang w:val="nl-BE"/>
              </w:rPr>
              <w:t xml:space="preserve">vervangen door de woorden </w:t>
            </w:r>
            <w:r w:rsidRPr="00A30A4B">
              <w:rPr>
                <w:rFonts w:cstheme="minorHAnsi"/>
                <w:iCs/>
                <w:lang w:val="nl-BE"/>
              </w:rPr>
              <w:t>“de artikel 7:109”</w:t>
            </w:r>
            <w:r w:rsidRPr="00A30A4B">
              <w:rPr>
                <w:rFonts w:cstheme="minorHAnsi"/>
                <w:bCs/>
                <w:lang w:val="nl-BE"/>
              </w:rPr>
              <w:t>;</w:t>
            </w:r>
          </w:p>
          <w:p w14:paraId="3D572F5C" w14:textId="77777777" w:rsidR="00DF1BF0" w:rsidRPr="00A30A4B" w:rsidRDefault="00DF1BF0" w:rsidP="00474AFC">
            <w:pPr>
              <w:autoSpaceDE w:val="0"/>
              <w:autoSpaceDN w:val="0"/>
              <w:adjustRightInd w:val="0"/>
              <w:spacing w:after="0" w:line="240" w:lineRule="auto"/>
              <w:jc w:val="both"/>
              <w:rPr>
                <w:rFonts w:cstheme="minorHAnsi"/>
                <w:bCs/>
                <w:lang w:val="nl-BE"/>
              </w:rPr>
            </w:pPr>
          </w:p>
          <w:p w14:paraId="54C0B343" w14:textId="77777777" w:rsidR="00DF1BF0" w:rsidRPr="00A30A4B" w:rsidRDefault="00DF1BF0" w:rsidP="00474AFC">
            <w:pPr>
              <w:autoSpaceDE w:val="0"/>
              <w:autoSpaceDN w:val="0"/>
              <w:adjustRightInd w:val="0"/>
              <w:spacing w:after="0" w:line="240" w:lineRule="auto"/>
              <w:jc w:val="both"/>
              <w:rPr>
                <w:rFonts w:cstheme="minorHAnsi"/>
                <w:bCs/>
                <w:lang w:val="nl-BE"/>
              </w:rPr>
            </w:pPr>
            <w:r w:rsidRPr="00A30A4B">
              <w:rPr>
                <w:rFonts w:cstheme="minorHAnsi"/>
                <w:bCs/>
                <w:lang w:val="nl-BE"/>
              </w:rPr>
              <w:t>2° paragraaf 3 weglaten.</w:t>
            </w:r>
          </w:p>
          <w:p w14:paraId="7FA9FF2E" w14:textId="77777777" w:rsidR="00DF1BF0" w:rsidRPr="00A30A4B" w:rsidRDefault="00DF1BF0" w:rsidP="00474AFC">
            <w:pPr>
              <w:autoSpaceDE w:val="0"/>
              <w:autoSpaceDN w:val="0"/>
              <w:adjustRightInd w:val="0"/>
              <w:spacing w:after="0" w:line="240" w:lineRule="auto"/>
              <w:jc w:val="both"/>
              <w:rPr>
                <w:rFonts w:cstheme="minorHAnsi"/>
                <w:bCs/>
                <w:lang w:val="nl-BE"/>
              </w:rPr>
            </w:pPr>
          </w:p>
          <w:p w14:paraId="37AF92DB" w14:textId="77777777" w:rsidR="00DF1BF0" w:rsidRPr="00A30A4B" w:rsidRDefault="00DF1BF0" w:rsidP="00474AFC">
            <w:pPr>
              <w:autoSpaceDE w:val="0"/>
              <w:autoSpaceDN w:val="0"/>
              <w:adjustRightInd w:val="0"/>
              <w:spacing w:after="0" w:line="240" w:lineRule="auto"/>
              <w:jc w:val="both"/>
              <w:rPr>
                <w:rFonts w:cstheme="minorHAnsi"/>
                <w:lang w:val="nl-BE"/>
              </w:rPr>
            </w:pPr>
            <w:r w:rsidRPr="00A30A4B">
              <w:rPr>
                <w:rFonts w:cstheme="minorHAnsi"/>
                <w:lang w:val="nl-BE"/>
              </w:rPr>
              <w:t>VERANTWOORDING</w:t>
            </w:r>
            <w:bookmarkStart w:id="0" w:name="_GoBack"/>
            <w:bookmarkEnd w:id="0"/>
          </w:p>
          <w:p w14:paraId="65A19ADF" w14:textId="77777777" w:rsidR="00DF1BF0" w:rsidRPr="00A30A4B" w:rsidRDefault="00DF1BF0" w:rsidP="00474AFC">
            <w:pPr>
              <w:autoSpaceDE w:val="0"/>
              <w:autoSpaceDN w:val="0"/>
              <w:adjustRightInd w:val="0"/>
              <w:spacing w:after="0" w:line="240" w:lineRule="auto"/>
              <w:jc w:val="both"/>
              <w:rPr>
                <w:rFonts w:cstheme="minorHAnsi"/>
                <w:lang w:val="nl-BE"/>
              </w:rPr>
            </w:pPr>
          </w:p>
          <w:p w14:paraId="03BF4983" w14:textId="77777777" w:rsidR="00DF1BF0" w:rsidRPr="00E26E48" w:rsidRDefault="00DF1BF0" w:rsidP="00474AFC">
            <w:pPr>
              <w:autoSpaceDE w:val="0"/>
              <w:autoSpaceDN w:val="0"/>
              <w:adjustRightInd w:val="0"/>
              <w:spacing w:after="0" w:line="240" w:lineRule="auto"/>
              <w:jc w:val="both"/>
              <w:rPr>
                <w:rFonts w:cstheme="minorHAnsi"/>
                <w:lang w:val="nl-BE"/>
              </w:rPr>
            </w:pPr>
            <w:r w:rsidRPr="00A30A4B">
              <w:rPr>
                <w:rFonts w:cstheme="minorHAnsi"/>
                <w:lang w:val="nl-BE"/>
              </w:rPr>
              <w:t>Om niet in strijd te zijn met het Unierechtelijke verbod om onmiddellijk toepasselijke bepalingen, zoals die van de verordeningen, in nationaal recht om te zetten, wordt artikel 16:16, § 3 geschrapt.</w:t>
            </w:r>
          </w:p>
        </w:tc>
        <w:tc>
          <w:tcPr>
            <w:tcW w:w="5812" w:type="dxa"/>
            <w:gridSpan w:val="2"/>
            <w:shd w:val="clear" w:color="auto" w:fill="auto"/>
          </w:tcPr>
          <w:p w14:paraId="5C73DAAA" w14:textId="77777777" w:rsidR="00DF1BF0" w:rsidRPr="00A30A4B" w:rsidRDefault="00DF1BF0" w:rsidP="00474AFC">
            <w:pPr>
              <w:autoSpaceDE w:val="0"/>
              <w:autoSpaceDN w:val="0"/>
              <w:adjustRightInd w:val="0"/>
              <w:spacing w:after="0" w:line="240" w:lineRule="auto"/>
              <w:jc w:val="both"/>
              <w:rPr>
                <w:rFonts w:cstheme="minorHAnsi"/>
                <w:bCs/>
                <w:lang w:val="fr-FR"/>
              </w:rPr>
            </w:pPr>
            <w:r w:rsidRPr="00A30A4B">
              <w:rPr>
                <w:rFonts w:cstheme="minorHAnsi"/>
                <w:bCs/>
                <w:lang w:val="fr-FR"/>
              </w:rPr>
              <w:t xml:space="preserve">Dans l’article </w:t>
            </w:r>
            <w:proofErr w:type="gramStart"/>
            <w:r w:rsidRPr="00A30A4B">
              <w:rPr>
                <w:rFonts w:cstheme="minorHAnsi"/>
                <w:bCs/>
                <w:lang w:val="fr-FR"/>
              </w:rPr>
              <w:t>16:</w:t>
            </w:r>
            <w:proofErr w:type="gramEnd"/>
            <w:r w:rsidRPr="00A30A4B">
              <w:rPr>
                <w:rFonts w:cstheme="minorHAnsi"/>
                <w:bCs/>
                <w:lang w:val="fr-FR"/>
              </w:rPr>
              <w:t>16 proposé, apporter les modifications suivantes:</w:t>
            </w:r>
          </w:p>
          <w:p w14:paraId="63988ED0" w14:textId="77777777" w:rsidR="00DF1BF0" w:rsidRPr="00A30A4B" w:rsidRDefault="00DF1BF0" w:rsidP="00474AFC">
            <w:pPr>
              <w:autoSpaceDE w:val="0"/>
              <w:autoSpaceDN w:val="0"/>
              <w:adjustRightInd w:val="0"/>
              <w:spacing w:after="0" w:line="240" w:lineRule="auto"/>
              <w:jc w:val="both"/>
              <w:rPr>
                <w:rFonts w:cstheme="minorHAnsi"/>
                <w:bCs/>
                <w:lang w:val="fr-FR"/>
              </w:rPr>
            </w:pPr>
          </w:p>
          <w:p w14:paraId="6EABA058" w14:textId="77777777" w:rsidR="00DF1BF0" w:rsidRPr="00A30A4B" w:rsidRDefault="00DF1BF0" w:rsidP="00474AFC">
            <w:pPr>
              <w:autoSpaceDE w:val="0"/>
              <w:autoSpaceDN w:val="0"/>
              <w:adjustRightInd w:val="0"/>
              <w:spacing w:after="0" w:line="240" w:lineRule="auto"/>
              <w:jc w:val="both"/>
              <w:rPr>
                <w:rFonts w:cstheme="minorHAnsi"/>
                <w:bCs/>
                <w:lang w:val="fr-FR"/>
              </w:rPr>
            </w:pPr>
            <w:r w:rsidRPr="00A30A4B">
              <w:rPr>
                <w:rFonts w:cstheme="minorHAnsi"/>
                <w:bCs/>
                <w:lang w:val="fr-FR"/>
              </w:rPr>
              <w:t xml:space="preserve">1° dans le paragraphe 2, remplacer les mots </w:t>
            </w:r>
            <w:r w:rsidRPr="00A30A4B">
              <w:rPr>
                <w:rFonts w:cstheme="minorHAnsi"/>
                <w:lang w:val="fr-FR"/>
              </w:rPr>
              <w:t xml:space="preserve">“l’article </w:t>
            </w:r>
            <w:proofErr w:type="gramStart"/>
            <w:r w:rsidRPr="00A30A4B">
              <w:rPr>
                <w:rFonts w:cstheme="minorHAnsi"/>
                <w:lang w:val="fr-FR"/>
              </w:rPr>
              <w:t>7:</w:t>
            </w:r>
            <w:proofErr w:type="gramEnd"/>
            <w:r w:rsidRPr="00A30A4B">
              <w:rPr>
                <w:rFonts w:cstheme="minorHAnsi"/>
                <w:lang w:val="fr-FR"/>
              </w:rPr>
              <w:t xml:space="preserve">96” </w:t>
            </w:r>
            <w:r w:rsidRPr="00A30A4B">
              <w:rPr>
                <w:rFonts w:cstheme="minorHAnsi"/>
                <w:bCs/>
                <w:lang w:val="fr-FR"/>
              </w:rPr>
              <w:t xml:space="preserve">par les mots </w:t>
            </w:r>
            <w:r w:rsidRPr="00A30A4B">
              <w:rPr>
                <w:rFonts w:cstheme="minorHAnsi"/>
                <w:iCs/>
                <w:lang w:val="fr-FR"/>
              </w:rPr>
              <w:t>“l’article 7:109”</w:t>
            </w:r>
            <w:r w:rsidRPr="00A30A4B">
              <w:rPr>
                <w:rFonts w:cstheme="minorHAnsi"/>
                <w:bCs/>
                <w:lang w:val="fr-FR"/>
              </w:rPr>
              <w:t>;</w:t>
            </w:r>
          </w:p>
          <w:p w14:paraId="4933478E" w14:textId="77777777" w:rsidR="00DF1BF0" w:rsidRPr="00A30A4B" w:rsidRDefault="00DF1BF0" w:rsidP="00474AFC">
            <w:pPr>
              <w:autoSpaceDE w:val="0"/>
              <w:autoSpaceDN w:val="0"/>
              <w:adjustRightInd w:val="0"/>
              <w:spacing w:after="0" w:line="240" w:lineRule="auto"/>
              <w:jc w:val="both"/>
              <w:rPr>
                <w:rFonts w:cstheme="minorHAnsi"/>
                <w:bCs/>
                <w:lang w:val="fr-FR"/>
              </w:rPr>
            </w:pPr>
          </w:p>
          <w:p w14:paraId="4F4CE887" w14:textId="77777777" w:rsidR="00DF1BF0" w:rsidRPr="00A30A4B" w:rsidRDefault="00DF1BF0" w:rsidP="00474AFC">
            <w:pPr>
              <w:autoSpaceDE w:val="0"/>
              <w:autoSpaceDN w:val="0"/>
              <w:adjustRightInd w:val="0"/>
              <w:spacing w:after="0" w:line="240" w:lineRule="auto"/>
              <w:jc w:val="both"/>
              <w:rPr>
                <w:rFonts w:cstheme="minorHAnsi"/>
                <w:bCs/>
                <w:lang w:val="fr-FR"/>
              </w:rPr>
            </w:pPr>
            <w:r w:rsidRPr="00A30A4B">
              <w:rPr>
                <w:rFonts w:cstheme="minorHAnsi"/>
                <w:bCs/>
                <w:lang w:val="fr-FR"/>
              </w:rPr>
              <w:t>2° supprimer le paragraphe 3.</w:t>
            </w:r>
          </w:p>
          <w:p w14:paraId="548169FE" w14:textId="77777777" w:rsidR="00DF1BF0" w:rsidRPr="00A30A4B" w:rsidRDefault="00DF1BF0" w:rsidP="00474AFC">
            <w:pPr>
              <w:autoSpaceDE w:val="0"/>
              <w:autoSpaceDN w:val="0"/>
              <w:adjustRightInd w:val="0"/>
              <w:spacing w:after="0" w:line="240" w:lineRule="auto"/>
              <w:jc w:val="both"/>
              <w:rPr>
                <w:rFonts w:cstheme="minorHAnsi"/>
                <w:bCs/>
                <w:lang w:val="fr-FR"/>
              </w:rPr>
            </w:pPr>
          </w:p>
          <w:p w14:paraId="03CC2525" w14:textId="77777777" w:rsidR="00DF1BF0" w:rsidRPr="00A30A4B" w:rsidRDefault="00DF1BF0" w:rsidP="00474AFC">
            <w:pPr>
              <w:autoSpaceDE w:val="0"/>
              <w:autoSpaceDN w:val="0"/>
              <w:adjustRightInd w:val="0"/>
              <w:spacing w:after="0" w:line="240" w:lineRule="auto"/>
              <w:jc w:val="both"/>
              <w:rPr>
                <w:rFonts w:cstheme="minorHAnsi"/>
                <w:lang w:val="fr-FR"/>
              </w:rPr>
            </w:pPr>
            <w:r w:rsidRPr="00A30A4B">
              <w:rPr>
                <w:rFonts w:cstheme="minorHAnsi"/>
                <w:lang w:val="fr-FR"/>
              </w:rPr>
              <w:t>JUSTIFICATION</w:t>
            </w:r>
          </w:p>
          <w:p w14:paraId="49B9B72F" w14:textId="77777777" w:rsidR="00DF1BF0" w:rsidRPr="00A30A4B" w:rsidRDefault="00DF1BF0" w:rsidP="00474AFC">
            <w:pPr>
              <w:autoSpaceDE w:val="0"/>
              <w:autoSpaceDN w:val="0"/>
              <w:adjustRightInd w:val="0"/>
              <w:spacing w:after="0" w:line="240" w:lineRule="auto"/>
              <w:jc w:val="both"/>
              <w:rPr>
                <w:rFonts w:cstheme="minorHAnsi"/>
                <w:lang w:val="fr-FR"/>
              </w:rPr>
            </w:pPr>
          </w:p>
          <w:p w14:paraId="74B56F7F" w14:textId="77777777" w:rsidR="00DF1BF0" w:rsidRPr="00E26E48" w:rsidRDefault="00DF1BF0" w:rsidP="00474AFC">
            <w:pPr>
              <w:autoSpaceDE w:val="0"/>
              <w:autoSpaceDN w:val="0"/>
              <w:adjustRightInd w:val="0"/>
              <w:spacing w:after="0" w:line="240" w:lineRule="auto"/>
              <w:jc w:val="both"/>
              <w:rPr>
                <w:rFonts w:cstheme="minorHAnsi"/>
                <w:lang w:val="fr-FR"/>
              </w:rPr>
            </w:pPr>
            <w:r w:rsidRPr="00A30A4B">
              <w:rPr>
                <w:rFonts w:cstheme="minorHAnsi"/>
                <w:lang w:val="fr-FR"/>
              </w:rPr>
              <w:t xml:space="preserve">En plus d’une correction technique et afin de ne pas contrevenir à l’interdiction faite par le droit de l’Union européenne de transposer en droit national des dispositions immédiatement applicables, comme celles des règlements, le paragraphe 3 de l’article </w:t>
            </w:r>
            <w:proofErr w:type="gramStart"/>
            <w:r w:rsidRPr="00A30A4B">
              <w:rPr>
                <w:rFonts w:cstheme="minorHAnsi"/>
                <w:lang w:val="fr-FR"/>
              </w:rPr>
              <w:t>16:</w:t>
            </w:r>
            <w:proofErr w:type="gramEnd"/>
            <w:r w:rsidRPr="00A30A4B">
              <w:rPr>
                <w:rFonts w:cstheme="minorHAnsi"/>
                <w:lang w:val="fr-FR"/>
              </w:rPr>
              <w:t>16 est supprimé.</w:t>
            </w:r>
          </w:p>
        </w:tc>
      </w:tr>
    </w:tbl>
    <w:p w14:paraId="1AD8A703" w14:textId="77777777" w:rsidR="001203BA" w:rsidRPr="00E26E48" w:rsidRDefault="001203BA" w:rsidP="001203BA">
      <w:pPr>
        <w:rPr>
          <w:lang w:val="fr-FR"/>
        </w:rPr>
      </w:pPr>
    </w:p>
    <w:p w14:paraId="048BD52B" w14:textId="77777777" w:rsidR="00A820D7" w:rsidRPr="00E26E48" w:rsidRDefault="00A820D7">
      <w:pPr>
        <w:rPr>
          <w:lang w:val="fr-FR"/>
        </w:rPr>
      </w:pPr>
    </w:p>
    <w:sectPr w:rsidR="00A820D7" w:rsidRPr="00E26E4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028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035A"/>
    <w:rsid w:val="00071562"/>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64D8"/>
    <w:rsid w:val="00357D30"/>
    <w:rsid w:val="00367502"/>
    <w:rsid w:val="003831C0"/>
    <w:rsid w:val="00392936"/>
    <w:rsid w:val="003A1C6D"/>
    <w:rsid w:val="003A3D34"/>
    <w:rsid w:val="003A7991"/>
    <w:rsid w:val="003B06EB"/>
    <w:rsid w:val="003B15A0"/>
    <w:rsid w:val="003C38B1"/>
    <w:rsid w:val="003D744D"/>
    <w:rsid w:val="003E1F7C"/>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74AFC"/>
    <w:rsid w:val="00491AE1"/>
    <w:rsid w:val="00492278"/>
    <w:rsid w:val="00492FE9"/>
    <w:rsid w:val="004A0A88"/>
    <w:rsid w:val="004A39E3"/>
    <w:rsid w:val="004A7563"/>
    <w:rsid w:val="004C3052"/>
    <w:rsid w:val="004C63AD"/>
    <w:rsid w:val="00502CB1"/>
    <w:rsid w:val="005133BD"/>
    <w:rsid w:val="00513F84"/>
    <w:rsid w:val="00525185"/>
    <w:rsid w:val="00534740"/>
    <w:rsid w:val="005364B4"/>
    <w:rsid w:val="005415E2"/>
    <w:rsid w:val="0054708F"/>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02A1"/>
    <w:rsid w:val="0066155A"/>
    <w:rsid w:val="0066738E"/>
    <w:rsid w:val="0068143A"/>
    <w:rsid w:val="00686C06"/>
    <w:rsid w:val="006920C9"/>
    <w:rsid w:val="006A735D"/>
    <w:rsid w:val="006B2AA7"/>
    <w:rsid w:val="006C529C"/>
    <w:rsid w:val="006C79DF"/>
    <w:rsid w:val="006D501B"/>
    <w:rsid w:val="006D6DC3"/>
    <w:rsid w:val="0070142C"/>
    <w:rsid w:val="00701DD9"/>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30A4B"/>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79CF"/>
    <w:rsid w:val="00B9162B"/>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014C"/>
    <w:rsid w:val="00C47A8C"/>
    <w:rsid w:val="00C52F6F"/>
    <w:rsid w:val="00C72E4C"/>
    <w:rsid w:val="00C80883"/>
    <w:rsid w:val="00C80921"/>
    <w:rsid w:val="00C86467"/>
    <w:rsid w:val="00C86CC5"/>
    <w:rsid w:val="00C91A38"/>
    <w:rsid w:val="00C9498E"/>
    <w:rsid w:val="00CA1557"/>
    <w:rsid w:val="00CA5454"/>
    <w:rsid w:val="00CB08CB"/>
    <w:rsid w:val="00CB210A"/>
    <w:rsid w:val="00CB6FFB"/>
    <w:rsid w:val="00CC6422"/>
    <w:rsid w:val="00D22227"/>
    <w:rsid w:val="00D42D9B"/>
    <w:rsid w:val="00D46773"/>
    <w:rsid w:val="00D637E1"/>
    <w:rsid w:val="00D66D82"/>
    <w:rsid w:val="00D751E3"/>
    <w:rsid w:val="00D8405B"/>
    <w:rsid w:val="00D931FB"/>
    <w:rsid w:val="00D96002"/>
    <w:rsid w:val="00DA0AF3"/>
    <w:rsid w:val="00DB5C97"/>
    <w:rsid w:val="00DD79BB"/>
    <w:rsid w:val="00DE1FCC"/>
    <w:rsid w:val="00DE59E1"/>
    <w:rsid w:val="00DF1BF0"/>
    <w:rsid w:val="00E15370"/>
    <w:rsid w:val="00E15CFE"/>
    <w:rsid w:val="00E21F8D"/>
    <w:rsid w:val="00E26DE4"/>
    <w:rsid w:val="00E26E48"/>
    <w:rsid w:val="00E511E0"/>
    <w:rsid w:val="00E53C0F"/>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7FD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A30A4B"/>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A30A4B"/>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3766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2019-11-08T10:58:00Z</dcterms:created>
  <dcterms:modified xsi:type="dcterms:W3CDTF">2022-02-07T14:50:00Z</dcterms:modified>
</cp:coreProperties>
</file>