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962"/>
        <w:gridCol w:w="850"/>
      </w:tblGrid>
      <w:tr w:rsidR="00BE7715" w:rsidRPr="00BE7715" w14:paraId="60B2F853" w14:textId="77777777" w:rsidTr="00BE7715">
        <w:tc>
          <w:tcPr>
            <w:tcW w:w="12895" w:type="dxa"/>
            <w:gridSpan w:val="3"/>
          </w:tcPr>
          <w:p w14:paraId="705BE35E" w14:textId="77777777" w:rsidR="00BE7715" w:rsidRDefault="00BE7715" w:rsidP="00B469BF">
            <w:pPr>
              <w:rPr>
                <w:b/>
                <w:sz w:val="32"/>
                <w:szCs w:val="32"/>
                <w:lang w:val="nl-BE"/>
              </w:rPr>
            </w:pPr>
            <w:r>
              <w:rPr>
                <w:b/>
                <w:sz w:val="32"/>
                <w:szCs w:val="32"/>
                <w:lang w:val="nl-BE"/>
              </w:rPr>
              <w:t>Hoofdstuk 2. – S</w:t>
            </w:r>
            <w:r w:rsidRPr="00BE7715">
              <w:rPr>
                <w:b/>
                <w:sz w:val="32"/>
                <w:szCs w:val="32"/>
                <w:lang w:val="nl-BE"/>
              </w:rPr>
              <w:t>temrecht.</w:t>
            </w:r>
          </w:p>
        </w:tc>
        <w:tc>
          <w:tcPr>
            <w:tcW w:w="850" w:type="dxa"/>
            <w:shd w:val="clear" w:color="auto" w:fill="auto"/>
          </w:tcPr>
          <w:p w14:paraId="102E7108" w14:textId="77777777" w:rsidR="00BE7715" w:rsidRPr="007B17CA" w:rsidRDefault="00BE7715" w:rsidP="00B469BF">
            <w:pPr>
              <w:jc w:val="center"/>
              <w:rPr>
                <w:rFonts w:ascii="Cambria" w:eastAsia="Calibri" w:hAnsi="Cambria" w:cs="Times New Roman"/>
                <w:b/>
                <w:bCs/>
                <w:color w:val="4F81BD"/>
                <w:sz w:val="32"/>
                <w:szCs w:val="26"/>
                <w:lang w:val="nl-NL" w:eastAsia="fr-FR"/>
              </w:rPr>
            </w:pPr>
          </w:p>
        </w:tc>
      </w:tr>
      <w:tr w:rsidR="001203BA" w:rsidRPr="00BE7715" w14:paraId="134339E6" w14:textId="77777777" w:rsidTr="00B469BF">
        <w:tc>
          <w:tcPr>
            <w:tcW w:w="2122" w:type="dxa"/>
          </w:tcPr>
          <w:p w14:paraId="4CED7FBD" w14:textId="77777777" w:rsidR="001203BA" w:rsidRPr="00B07AC9" w:rsidRDefault="00556D0E" w:rsidP="00B469BF">
            <w:pPr>
              <w:rPr>
                <w:b/>
                <w:sz w:val="32"/>
                <w:szCs w:val="32"/>
                <w:lang w:val="nl-BE"/>
              </w:rPr>
            </w:pPr>
            <w:r>
              <w:rPr>
                <w:b/>
                <w:sz w:val="32"/>
                <w:szCs w:val="32"/>
                <w:lang w:val="nl-BE"/>
              </w:rPr>
              <w:t>ARTIKEL 16:19</w:t>
            </w:r>
          </w:p>
        </w:tc>
        <w:tc>
          <w:tcPr>
            <w:tcW w:w="11623" w:type="dxa"/>
            <w:gridSpan w:val="3"/>
            <w:shd w:val="clear" w:color="auto" w:fill="auto"/>
          </w:tcPr>
          <w:p w14:paraId="4E4A4B9A" w14:textId="77777777" w:rsidR="001203BA" w:rsidRPr="007B17CA" w:rsidRDefault="001203BA" w:rsidP="00B469BF">
            <w:pPr>
              <w:jc w:val="center"/>
              <w:rPr>
                <w:rFonts w:ascii="Cambria" w:eastAsia="Calibri" w:hAnsi="Cambria" w:cs="Times New Roman"/>
                <w:b/>
                <w:bCs/>
                <w:color w:val="4F81BD"/>
                <w:sz w:val="32"/>
                <w:szCs w:val="26"/>
                <w:lang w:val="nl-NL" w:eastAsia="fr-FR"/>
              </w:rPr>
            </w:pPr>
          </w:p>
        </w:tc>
      </w:tr>
      <w:tr w:rsidR="000A2E18" w:rsidRPr="00BE7715" w14:paraId="484FF703" w14:textId="77777777" w:rsidTr="00B469BF">
        <w:tc>
          <w:tcPr>
            <w:tcW w:w="2122" w:type="dxa"/>
          </w:tcPr>
          <w:p w14:paraId="1510F610" w14:textId="77777777" w:rsidR="000A2E18" w:rsidRDefault="000A2E18" w:rsidP="00B469BF">
            <w:pPr>
              <w:rPr>
                <w:b/>
                <w:sz w:val="32"/>
                <w:szCs w:val="32"/>
                <w:lang w:val="nl-BE"/>
              </w:rPr>
            </w:pPr>
          </w:p>
        </w:tc>
        <w:tc>
          <w:tcPr>
            <w:tcW w:w="11623" w:type="dxa"/>
            <w:gridSpan w:val="3"/>
            <w:shd w:val="clear" w:color="auto" w:fill="auto"/>
          </w:tcPr>
          <w:p w14:paraId="46BC7E8E" w14:textId="77777777" w:rsidR="000A2E18" w:rsidRPr="007B17CA" w:rsidRDefault="000A2E18" w:rsidP="00B469BF">
            <w:pPr>
              <w:jc w:val="center"/>
              <w:rPr>
                <w:rFonts w:ascii="Cambria" w:eastAsia="Calibri" w:hAnsi="Cambria" w:cs="Times New Roman"/>
                <w:b/>
                <w:bCs/>
                <w:color w:val="4F81BD"/>
                <w:sz w:val="32"/>
                <w:szCs w:val="26"/>
                <w:lang w:val="nl-NL" w:eastAsia="fr-FR"/>
              </w:rPr>
            </w:pPr>
          </w:p>
        </w:tc>
      </w:tr>
      <w:tr w:rsidR="00556D0E" w:rsidRPr="00EB35E5" w14:paraId="2F3105F5" w14:textId="77777777" w:rsidTr="00B469BF">
        <w:trPr>
          <w:trHeight w:val="1124"/>
        </w:trPr>
        <w:tc>
          <w:tcPr>
            <w:tcW w:w="2122" w:type="dxa"/>
          </w:tcPr>
          <w:p w14:paraId="3EC3F75F" w14:textId="77777777" w:rsidR="00556D0E" w:rsidRDefault="00556D0E" w:rsidP="00B469BF">
            <w:pPr>
              <w:spacing w:after="0" w:line="240" w:lineRule="auto"/>
              <w:rPr>
                <w:rFonts w:cs="Calibri"/>
                <w:lang w:val="nl-BE"/>
              </w:rPr>
            </w:pPr>
            <w:r>
              <w:rPr>
                <w:rFonts w:cs="Calibri"/>
                <w:lang w:val="nl-BE"/>
              </w:rPr>
              <w:t>WVV</w:t>
            </w:r>
          </w:p>
        </w:tc>
        <w:tc>
          <w:tcPr>
            <w:tcW w:w="5811" w:type="dxa"/>
            <w:shd w:val="clear" w:color="auto" w:fill="auto"/>
          </w:tcPr>
          <w:p w14:paraId="7EF5C3B6" w14:textId="77777777" w:rsidR="00556D0E" w:rsidRPr="00F22A3C" w:rsidRDefault="00556D0E" w:rsidP="00B469BF">
            <w:pPr>
              <w:spacing w:after="0" w:line="240" w:lineRule="auto"/>
              <w:jc w:val="both"/>
              <w:rPr>
                <w:rFonts w:cs="Calibri"/>
                <w:lang w:val="nl-BE"/>
              </w:rPr>
            </w:pPr>
            <w:r w:rsidRPr="00F22A3C">
              <w:rPr>
                <w:rFonts w:cs="Calibri"/>
                <w:lang w:val="nl-BE"/>
              </w:rPr>
              <w:t>Elke aandeelhouder beschikt over één stem, ongeacht het aantal aandelen dat hij bezit. Overeenkomstig artikel 59, lid 2, van verordening (EG) nr. 1435/2003 kunnen de statuten bepalen dat een aandeelhouder beschikt over een aantal stemmen naargelang zijn niet uit kapitaalinbreng bestaande deelneming in het coöperatieve bedrijf. Per aandeelhouder mogen niet meer dan vijf stemmen of, indien dit lager is, dertig percent van de totale stemrechten worden toegekend.</w:t>
            </w:r>
          </w:p>
          <w:p w14:paraId="356212E8" w14:textId="77777777" w:rsidR="00556D0E" w:rsidRDefault="00556D0E" w:rsidP="00B469BF">
            <w:pPr>
              <w:spacing w:after="0" w:line="240" w:lineRule="auto"/>
              <w:jc w:val="both"/>
              <w:rPr>
                <w:rFonts w:cs="Calibri"/>
                <w:lang w:val="nl-BE"/>
              </w:rPr>
            </w:pPr>
          </w:p>
          <w:p w14:paraId="0E7C1671" w14:textId="77777777" w:rsidR="00556D0E" w:rsidRDefault="00556D0E" w:rsidP="00B469BF">
            <w:pPr>
              <w:spacing w:after="0" w:line="240" w:lineRule="auto"/>
              <w:jc w:val="both"/>
              <w:rPr>
                <w:rFonts w:cs="Calibri"/>
                <w:lang w:val="nl-BE"/>
              </w:rPr>
            </w:pPr>
            <w:r w:rsidRPr="00F22A3C">
              <w:rPr>
                <w:rFonts w:cs="Calibri"/>
                <w:lang w:val="nl-BE"/>
              </w:rPr>
              <w:t>Overeenkomstig artikel 59, lid 3, van verordening (EG) nr. 1435/2003 kunnen de statuten van een Europese coöperatieve vennootschap wiens bedrijf bestaat in financiële of verzekeringswerkzaamheden, bepalen dat een aandeelhouder beschikt over een aantal stemmen naargelang zijn deelneming in het coöperatieve bedrijf, inclusief zijn deelneming in het kapitaal van de SCE. Per aandeelhouder mogen niet meer dan vijf stemmen of, indien dit lager is, twintig percent van de totale stemrechten worden toegekend</w:t>
            </w:r>
            <w:r>
              <w:rPr>
                <w:rFonts w:cs="Calibri"/>
                <w:lang w:val="nl-BE"/>
              </w:rPr>
              <w:t>.</w:t>
            </w:r>
          </w:p>
          <w:p w14:paraId="49759D74" w14:textId="77777777" w:rsidR="00556D0E" w:rsidRDefault="00556D0E" w:rsidP="00B469BF">
            <w:pPr>
              <w:spacing w:after="0" w:line="240" w:lineRule="auto"/>
              <w:jc w:val="both"/>
              <w:rPr>
                <w:rFonts w:cs="Calibri"/>
                <w:lang w:val="nl-BE"/>
              </w:rPr>
            </w:pPr>
          </w:p>
          <w:p w14:paraId="40265204" w14:textId="77777777" w:rsidR="00556D0E" w:rsidRDefault="00BE7715" w:rsidP="00B469BF">
            <w:pPr>
              <w:spacing w:after="0" w:line="240" w:lineRule="auto"/>
              <w:jc w:val="both"/>
              <w:rPr>
                <w:rFonts w:cs="Calibri"/>
                <w:lang w:val="nl-BE"/>
              </w:rPr>
            </w:pPr>
            <w:r>
              <w:rPr>
                <w:rFonts w:cs="Calibri"/>
                <w:lang w:val="nl-BE"/>
              </w:rPr>
              <w:t>I</w:t>
            </w:r>
            <w:r w:rsidR="00556D0E" w:rsidRPr="00F22A3C">
              <w:rPr>
                <w:rFonts w:cs="Calibri"/>
                <w:lang w:val="nl-BE"/>
              </w:rPr>
              <w:t>n een Europese coöperatieve vennootschap waar</w:t>
            </w:r>
            <w:r w:rsidR="00556D0E">
              <w:rPr>
                <w:rFonts w:cs="Calibri"/>
                <w:lang w:val="nl-BE"/>
              </w:rPr>
              <w:t>van</w:t>
            </w:r>
            <w:r w:rsidR="00556D0E" w:rsidRPr="00F22A3C">
              <w:rPr>
                <w:rFonts w:cs="Calibri"/>
                <w:lang w:val="nl-BE"/>
              </w:rPr>
              <w:t xml:space="preserve"> een meerderheid van de </w:t>
            </w:r>
            <w:r w:rsidR="00556D0E">
              <w:rPr>
                <w:rFonts w:cs="Calibri"/>
                <w:lang w:val="nl-BE"/>
              </w:rPr>
              <w:t>aandeelhouders</w:t>
            </w:r>
            <w:r w:rsidR="00556D0E" w:rsidRPr="00F22A3C">
              <w:rPr>
                <w:rFonts w:cs="Calibri"/>
                <w:lang w:val="nl-BE"/>
              </w:rPr>
              <w:t xml:space="preserve"> coöperaties zijn, kunnen de statuten bepalen dat een lid beschikt over een aantal stemmen naargelang zijn deelneming in het coöperatieve bedrijf, inclusief zijn deelneming in het kapitaal van de SCE, en/of naargelang het aantal </w:t>
            </w:r>
            <w:r w:rsidR="00556D0E">
              <w:rPr>
                <w:rFonts w:cs="Calibri"/>
                <w:lang w:val="nl-BE"/>
              </w:rPr>
              <w:t>aandeelhouders</w:t>
            </w:r>
            <w:r w:rsidR="00556D0E" w:rsidRPr="00F22A3C">
              <w:rPr>
                <w:rFonts w:cs="Calibri"/>
                <w:lang w:val="nl-BE"/>
              </w:rPr>
              <w:t xml:space="preserve"> van elk</w:t>
            </w:r>
            <w:r w:rsidR="00556D0E">
              <w:rPr>
                <w:rFonts w:cs="Calibri"/>
                <w:lang w:val="nl-BE"/>
              </w:rPr>
              <w:t>e</w:t>
            </w:r>
            <w:r w:rsidR="00556D0E" w:rsidRPr="00F22A3C">
              <w:rPr>
                <w:rFonts w:cs="Calibri"/>
                <w:lang w:val="nl-BE"/>
              </w:rPr>
              <w:t xml:space="preserve"> rechtspersoon die er deel van uitmaakt</w:t>
            </w:r>
            <w:r w:rsidR="00556D0E">
              <w:rPr>
                <w:rFonts w:cs="Calibri"/>
                <w:lang w:val="nl-BE"/>
              </w:rPr>
              <w:t>.</w:t>
            </w:r>
          </w:p>
          <w:p w14:paraId="19254C5B" w14:textId="77777777" w:rsidR="00556D0E" w:rsidRPr="00F22A3C" w:rsidRDefault="00556D0E" w:rsidP="00B469BF">
            <w:pPr>
              <w:spacing w:after="0" w:line="240" w:lineRule="auto"/>
              <w:jc w:val="both"/>
              <w:rPr>
                <w:rFonts w:cs="Calibri"/>
                <w:lang w:val="nl-BE"/>
              </w:rPr>
            </w:pPr>
            <w:r w:rsidRPr="00F22A3C">
              <w:rPr>
                <w:rFonts w:cs="Calibri"/>
                <w:lang w:val="nl-BE"/>
              </w:rPr>
              <w:lastRenderedPageBreak/>
              <w:t>De kapitaalverschaffers bepaald in artikel 16:4 mogen over niet meer dan vijfentwintig percent van de totale stemrechten beschikken</w:t>
            </w:r>
            <w:r>
              <w:rPr>
                <w:rFonts w:cs="Calibri"/>
                <w:lang w:val="nl-BE"/>
              </w:rPr>
              <w:t>.</w:t>
            </w:r>
          </w:p>
        </w:tc>
        <w:tc>
          <w:tcPr>
            <w:tcW w:w="5812" w:type="dxa"/>
            <w:gridSpan w:val="2"/>
            <w:shd w:val="clear" w:color="auto" w:fill="auto"/>
          </w:tcPr>
          <w:p w14:paraId="46EEFDEC" w14:textId="77777777" w:rsidR="00556D0E" w:rsidRDefault="00556D0E" w:rsidP="00B469BF">
            <w:pPr>
              <w:spacing w:after="0" w:line="240" w:lineRule="auto"/>
              <w:jc w:val="both"/>
              <w:rPr>
                <w:rFonts w:cs="Calibri"/>
                <w:lang w:val="fr-FR"/>
              </w:rPr>
            </w:pPr>
            <w:r w:rsidRPr="00F22A3C">
              <w:rPr>
                <w:rFonts w:cs="Calibri"/>
                <w:lang w:val="fr-FR"/>
              </w:rPr>
              <w:lastRenderedPageBreak/>
              <w:t>Chaque actionnaire dispose d’une seule voix quel que soit le nombre d’actions</w:t>
            </w:r>
            <w:r>
              <w:rPr>
                <w:rFonts w:cs="Calibri"/>
                <w:lang w:val="fr-FR"/>
              </w:rPr>
              <w:t xml:space="preserve"> </w:t>
            </w:r>
            <w:r w:rsidRPr="00F22A3C">
              <w:rPr>
                <w:rFonts w:cs="Calibri"/>
                <w:lang w:val="fr-FR"/>
              </w:rPr>
              <w:t>qu’il possède. Conformément à l’article 59, § 2, du règlement (CE) n° 1435/2003, les statuts peuvent prévoir qu'un actionnaire dispose d'un nombre de voix qui est déterminé par sa participation aux activités de la coopérative, à l'exclusion de sa participation sous forme de contribution au capital. Les voix ainsi attribuées ne peuvent dépasser le nombre de 5 par actionnaire, ou trente pour cent du total des droits de vote</w:t>
            </w:r>
            <w:r>
              <w:rPr>
                <w:rFonts w:cs="Calibri"/>
                <w:lang w:val="fr-FR"/>
              </w:rPr>
              <w:t>.</w:t>
            </w:r>
          </w:p>
          <w:p w14:paraId="59902FC8" w14:textId="77777777" w:rsidR="00556D0E" w:rsidRDefault="00556D0E" w:rsidP="00B469BF">
            <w:pPr>
              <w:spacing w:after="0" w:line="240" w:lineRule="auto"/>
              <w:jc w:val="both"/>
              <w:rPr>
                <w:rFonts w:cs="Calibri"/>
                <w:lang w:val="fr-FR"/>
              </w:rPr>
            </w:pPr>
          </w:p>
          <w:p w14:paraId="0B85FED3" w14:textId="77777777" w:rsidR="00556D0E" w:rsidRDefault="00556D0E" w:rsidP="00B469BF">
            <w:pPr>
              <w:spacing w:after="0" w:line="240" w:lineRule="auto"/>
              <w:jc w:val="both"/>
              <w:rPr>
                <w:rFonts w:cs="Calibri"/>
                <w:lang w:val="fr-FR"/>
              </w:rPr>
            </w:pPr>
            <w:r w:rsidRPr="00F22A3C">
              <w:rPr>
                <w:rFonts w:cs="Calibri"/>
                <w:lang w:val="fr-FR"/>
              </w:rPr>
              <w:t>Conformément à l’article 59, § 3, du règlement (CE) n° 1435/2003, les statuts d’une société coopérative européenne participant à des activités dans le domaine financier ou de l'assurance peuvent prévoir que le nombre de voix est déterminé par la participation de l’actionnaire aux activités de la coopérative, y compris sous forme de participation au capital de la SCE. Les voix ainsi attribuées ne peuvent dépasser le nombre de 5 par actionnaire, ou vingt pour cent du total des droits de vote si ce nombre est inférieur</w:t>
            </w:r>
            <w:r>
              <w:rPr>
                <w:rFonts w:cs="Calibri"/>
                <w:lang w:val="fr-FR"/>
              </w:rPr>
              <w:t>.</w:t>
            </w:r>
          </w:p>
          <w:p w14:paraId="2E8D9F19" w14:textId="77777777" w:rsidR="00556D0E" w:rsidRDefault="00556D0E" w:rsidP="00B469BF">
            <w:pPr>
              <w:spacing w:after="0" w:line="240" w:lineRule="auto"/>
              <w:jc w:val="both"/>
              <w:rPr>
                <w:rFonts w:cs="Calibri"/>
                <w:lang w:val="fr-FR"/>
              </w:rPr>
            </w:pPr>
          </w:p>
          <w:p w14:paraId="0A1D4FA3" w14:textId="77777777" w:rsidR="00556D0E" w:rsidRDefault="00556D0E" w:rsidP="00B469BF">
            <w:pPr>
              <w:spacing w:after="0" w:line="240" w:lineRule="auto"/>
              <w:jc w:val="both"/>
              <w:rPr>
                <w:rFonts w:cs="Calibri"/>
                <w:lang w:val="fr-FR"/>
              </w:rPr>
            </w:pPr>
            <w:r w:rsidRPr="00F22A3C">
              <w:rPr>
                <w:rFonts w:cs="Calibri"/>
                <w:lang w:val="fr-FR"/>
              </w:rPr>
              <w:t xml:space="preserve">Les statuts des sociétés coopératives européennes dont les </w:t>
            </w:r>
            <w:r>
              <w:rPr>
                <w:rFonts w:cs="Calibri"/>
                <w:lang w:val="fr-FR"/>
              </w:rPr>
              <w:t xml:space="preserve">actionnaires </w:t>
            </w:r>
            <w:r w:rsidRPr="00F22A3C">
              <w:rPr>
                <w:rFonts w:cs="Calibri"/>
                <w:lang w:val="fr-FR"/>
              </w:rPr>
              <w:t xml:space="preserve">sont majoritairement des coopératives peuvent prévoir que le nombre de voix d’un membre est déterminé en fonction de sa participation aux activités exercées par la coopérative, y compris sous forme de participation au capital de la SCE, et/ou du nombre </w:t>
            </w:r>
            <w:r>
              <w:rPr>
                <w:rFonts w:cs="Calibri"/>
                <w:lang w:val="fr-FR"/>
              </w:rPr>
              <w:t>d’actionnaires</w:t>
            </w:r>
            <w:r w:rsidRPr="00F22A3C">
              <w:rPr>
                <w:rFonts w:cs="Calibri"/>
                <w:lang w:val="fr-FR"/>
              </w:rPr>
              <w:t xml:space="preserve"> de chaque entité constitutive.</w:t>
            </w:r>
          </w:p>
          <w:p w14:paraId="2184D39E" w14:textId="77777777" w:rsidR="00556D0E" w:rsidRDefault="00556D0E" w:rsidP="00B469BF">
            <w:pPr>
              <w:spacing w:after="0" w:line="240" w:lineRule="auto"/>
              <w:jc w:val="both"/>
              <w:rPr>
                <w:rFonts w:cs="Calibri"/>
                <w:lang w:val="fr-FR"/>
              </w:rPr>
            </w:pPr>
          </w:p>
          <w:p w14:paraId="7FB71F19" w14:textId="77777777" w:rsidR="00556D0E" w:rsidRPr="00F22A3C" w:rsidRDefault="00556D0E" w:rsidP="00B469BF">
            <w:pPr>
              <w:spacing w:after="0" w:line="240" w:lineRule="auto"/>
              <w:jc w:val="both"/>
              <w:rPr>
                <w:rFonts w:cs="Calibri"/>
                <w:lang w:val="fr-FR"/>
              </w:rPr>
            </w:pPr>
            <w:r w:rsidRPr="00F22A3C">
              <w:rPr>
                <w:rFonts w:cs="Calibri"/>
                <w:lang w:val="fr-FR"/>
              </w:rPr>
              <w:t xml:space="preserve">Les membres investisseurs déterminés dans l'article </w:t>
            </w:r>
            <w:proofErr w:type="gramStart"/>
            <w:r w:rsidRPr="00F22A3C">
              <w:rPr>
                <w:rFonts w:cs="Calibri"/>
                <w:lang w:val="fr-FR"/>
              </w:rPr>
              <w:t>16:</w:t>
            </w:r>
            <w:proofErr w:type="gramEnd"/>
            <w:r w:rsidRPr="00F22A3C">
              <w:rPr>
                <w:rFonts w:cs="Calibri"/>
                <w:lang w:val="fr-FR"/>
              </w:rPr>
              <w:t>4 ne peuvent disposer de plus de vingt-cinq pour cent du total des droits de vote</w:t>
            </w:r>
            <w:r>
              <w:rPr>
                <w:rFonts w:cs="Calibri"/>
                <w:lang w:val="fr-FR"/>
              </w:rPr>
              <w:t>.</w:t>
            </w:r>
          </w:p>
        </w:tc>
      </w:tr>
      <w:tr w:rsidR="00EB35E5" w:rsidRPr="00EB35E5" w14:paraId="69ABC460" w14:textId="77777777" w:rsidTr="00EB35E5">
        <w:trPr>
          <w:trHeight w:val="452"/>
        </w:trPr>
        <w:tc>
          <w:tcPr>
            <w:tcW w:w="2122" w:type="dxa"/>
          </w:tcPr>
          <w:p w14:paraId="06BE55DC" w14:textId="77777777" w:rsidR="00EB35E5" w:rsidRPr="000E0D5D" w:rsidRDefault="00EB35E5" w:rsidP="00E9206C">
            <w:pPr>
              <w:spacing w:after="0"/>
            </w:pPr>
            <w:proofErr w:type="spellStart"/>
            <w:r w:rsidRPr="000E0D5D">
              <w:lastRenderedPageBreak/>
              <w:t>Ontwerp</w:t>
            </w:r>
            <w:proofErr w:type="spellEnd"/>
          </w:p>
        </w:tc>
        <w:tc>
          <w:tcPr>
            <w:tcW w:w="5811" w:type="dxa"/>
            <w:shd w:val="clear" w:color="auto" w:fill="auto"/>
          </w:tcPr>
          <w:p w14:paraId="4EF081D5" w14:textId="77777777" w:rsidR="00EB35E5" w:rsidRPr="000E0D5D" w:rsidRDefault="00EB35E5" w:rsidP="00E9206C">
            <w:pPr>
              <w:spacing w:after="0"/>
            </w:pPr>
            <w:proofErr w:type="spellStart"/>
            <w:r w:rsidRPr="000E0D5D">
              <w:t>Geen</w:t>
            </w:r>
            <w:proofErr w:type="spellEnd"/>
            <w:r w:rsidRPr="000E0D5D">
              <w:t xml:space="preserve"> </w:t>
            </w:r>
            <w:proofErr w:type="spellStart"/>
            <w:r w:rsidRPr="000E0D5D">
              <w:t>artikel</w:t>
            </w:r>
            <w:proofErr w:type="spellEnd"/>
            <w:r>
              <w:t>.</w:t>
            </w:r>
          </w:p>
        </w:tc>
        <w:tc>
          <w:tcPr>
            <w:tcW w:w="5812" w:type="dxa"/>
            <w:gridSpan w:val="2"/>
            <w:shd w:val="clear" w:color="auto" w:fill="auto"/>
          </w:tcPr>
          <w:p w14:paraId="7BB1A8F5" w14:textId="77777777" w:rsidR="00EB35E5" w:rsidRDefault="00EB35E5" w:rsidP="00E9206C">
            <w:pPr>
              <w:spacing w:after="0"/>
            </w:pPr>
            <w:r w:rsidRPr="000E0D5D">
              <w:t xml:space="preserve">Pas </w:t>
            </w:r>
            <w:proofErr w:type="spellStart"/>
            <w:r w:rsidRPr="000E0D5D">
              <w:t>d’article</w:t>
            </w:r>
            <w:proofErr w:type="spellEnd"/>
            <w:r>
              <w:t>.</w:t>
            </w:r>
          </w:p>
        </w:tc>
      </w:tr>
      <w:tr w:rsidR="00EB35E5" w:rsidRPr="000F52FF" w14:paraId="41F9882B" w14:textId="77777777" w:rsidTr="00B469BF">
        <w:trPr>
          <w:trHeight w:val="404"/>
        </w:trPr>
        <w:tc>
          <w:tcPr>
            <w:tcW w:w="2122" w:type="dxa"/>
          </w:tcPr>
          <w:p w14:paraId="7D997D00" w14:textId="77777777" w:rsidR="00EB35E5" w:rsidRPr="000F52FF" w:rsidRDefault="00EB35E5" w:rsidP="00B469BF">
            <w:pPr>
              <w:spacing w:after="0" w:line="240" w:lineRule="auto"/>
              <w:rPr>
                <w:rFonts w:cs="Calibri"/>
                <w:lang w:val="fr-FR"/>
              </w:rPr>
            </w:pPr>
            <w:proofErr w:type="spellStart"/>
            <w:r>
              <w:rPr>
                <w:rFonts w:cs="Calibri"/>
                <w:lang w:val="fr-FR"/>
              </w:rPr>
              <w:t>Voorontwerp</w:t>
            </w:r>
            <w:proofErr w:type="spellEnd"/>
          </w:p>
        </w:tc>
        <w:tc>
          <w:tcPr>
            <w:tcW w:w="5811" w:type="dxa"/>
            <w:shd w:val="clear" w:color="auto" w:fill="auto"/>
          </w:tcPr>
          <w:p w14:paraId="045D58F2" w14:textId="77777777" w:rsidR="00EB35E5" w:rsidRPr="000F52FF" w:rsidRDefault="00EB35E5" w:rsidP="00B469B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0C29FDC8" w14:textId="77777777" w:rsidR="00EB35E5" w:rsidRPr="00F22A3C" w:rsidRDefault="00EB35E5" w:rsidP="00B469BF">
            <w:pPr>
              <w:spacing w:after="0" w:line="240" w:lineRule="auto"/>
              <w:jc w:val="both"/>
              <w:rPr>
                <w:rFonts w:cs="Calibri"/>
                <w:lang w:val="fr-FR"/>
              </w:rPr>
            </w:pPr>
            <w:r>
              <w:rPr>
                <w:rFonts w:cs="Calibri"/>
                <w:lang w:val="fr-FR"/>
              </w:rPr>
              <w:t>Pas d’article.</w:t>
            </w:r>
          </w:p>
        </w:tc>
      </w:tr>
      <w:tr w:rsidR="00EB35E5" w:rsidRPr="00B469BF" w14:paraId="52A6329E" w14:textId="77777777" w:rsidTr="00B469BF">
        <w:trPr>
          <w:trHeight w:val="553"/>
        </w:trPr>
        <w:tc>
          <w:tcPr>
            <w:tcW w:w="2122" w:type="dxa"/>
          </w:tcPr>
          <w:p w14:paraId="1CE9C166" w14:textId="77777777" w:rsidR="00EB35E5" w:rsidRPr="000E0D5D" w:rsidRDefault="00EB35E5" w:rsidP="00B469BF">
            <w:pPr>
              <w:spacing w:after="0" w:line="240" w:lineRule="auto"/>
              <w:jc w:val="both"/>
            </w:pPr>
            <w:proofErr w:type="spellStart"/>
            <w:r>
              <w:t>MvT</w:t>
            </w:r>
            <w:proofErr w:type="spellEnd"/>
          </w:p>
        </w:tc>
        <w:tc>
          <w:tcPr>
            <w:tcW w:w="5811" w:type="dxa"/>
            <w:shd w:val="clear" w:color="auto" w:fill="auto"/>
          </w:tcPr>
          <w:p w14:paraId="4EAD2F7C" w14:textId="77777777" w:rsidR="00EB35E5" w:rsidRPr="00BE7715" w:rsidRDefault="00EB35E5" w:rsidP="00B469BF">
            <w:pPr>
              <w:spacing w:after="0" w:line="240" w:lineRule="auto"/>
              <w:jc w:val="both"/>
              <w:rPr>
                <w:lang w:val="nl-BE"/>
              </w:rPr>
            </w:pPr>
            <w:r w:rsidRPr="00BE7715">
              <w:rPr>
                <w:lang w:val="nl-BE"/>
              </w:rPr>
              <w:t>De mogelijkheden opengelaten in artikel 59, lid 2, van verordening (EG) nr. 1435/2003 worden geboden, zoals dat ook vandaag het geval is (zie artikel 991 van het Wetboek van vennootschappen). Gelet op de in artikel 16:4 aangewezen keuze, wordt ook de stemrechtbeperking uit artikel 59, lid 3, van verordening (EG) nr. 1435/2003 in herinnering gebracht.</w:t>
            </w:r>
          </w:p>
        </w:tc>
        <w:tc>
          <w:tcPr>
            <w:tcW w:w="5812" w:type="dxa"/>
            <w:gridSpan w:val="2"/>
            <w:shd w:val="clear" w:color="auto" w:fill="auto"/>
          </w:tcPr>
          <w:p w14:paraId="6503822F" w14:textId="77777777" w:rsidR="00EB35E5" w:rsidRPr="00BE7715" w:rsidRDefault="00EB35E5" w:rsidP="00B469BF">
            <w:pPr>
              <w:spacing w:after="0" w:line="240" w:lineRule="auto"/>
              <w:jc w:val="both"/>
              <w:rPr>
                <w:lang w:val="fr-FR"/>
              </w:rPr>
            </w:pPr>
            <w:r w:rsidRPr="00BE7715">
              <w:rPr>
                <w:lang w:val="fr-FR"/>
              </w:rPr>
              <w:t xml:space="preserve">Les possibilités laissées ouvertes à l’article 59, § 2, du règlement (CE) n° 1435/2003 sont proposées, comme c’est également le cas actuellement (voir l’article 991 du Code des sociétés). Vu le choix indiqué à l’article </w:t>
            </w:r>
            <w:proofErr w:type="gramStart"/>
            <w:r w:rsidRPr="00BE7715">
              <w:rPr>
                <w:lang w:val="fr-FR"/>
              </w:rPr>
              <w:t>16:</w:t>
            </w:r>
            <w:proofErr w:type="gramEnd"/>
            <w:r w:rsidRPr="00BE7715">
              <w:rPr>
                <w:lang w:val="fr-FR"/>
              </w:rPr>
              <w:t>4, la limitation du droit de vote issue de l’article 59, alinéa 3, du règlement (CE) n° 1435/2003 est également rappelée.</w:t>
            </w:r>
          </w:p>
        </w:tc>
      </w:tr>
      <w:tr w:rsidR="00EB35E5" w:rsidRPr="00BE7715" w14:paraId="01E0F3C9" w14:textId="77777777" w:rsidTr="00B469BF">
        <w:trPr>
          <w:trHeight w:val="352"/>
        </w:trPr>
        <w:tc>
          <w:tcPr>
            <w:tcW w:w="2122" w:type="dxa"/>
          </w:tcPr>
          <w:p w14:paraId="4CF0C6AB" w14:textId="77777777" w:rsidR="00EB35E5" w:rsidRDefault="00EB35E5" w:rsidP="00B469BF">
            <w:pPr>
              <w:spacing w:after="0" w:line="240" w:lineRule="auto"/>
              <w:jc w:val="both"/>
            </w:pPr>
            <w:proofErr w:type="spellStart"/>
            <w:r>
              <w:t>RvSt</w:t>
            </w:r>
            <w:proofErr w:type="spellEnd"/>
          </w:p>
        </w:tc>
        <w:tc>
          <w:tcPr>
            <w:tcW w:w="5811" w:type="dxa"/>
            <w:shd w:val="clear" w:color="auto" w:fill="auto"/>
          </w:tcPr>
          <w:p w14:paraId="4C025DD8" w14:textId="77777777" w:rsidR="00EB35E5" w:rsidRPr="00BE7715" w:rsidRDefault="00EB35E5" w:rsidP="00B469BF">
            <w:pPr>
              <w:spacing w:after="0" w:line="240" w:lineRule="auto"/>
              <w:jc w:val="both"/>
              <w:rPr>
                <w:lang w:val="nl-BE"/>
              </w:rPr>
            </w:pPr>
            <w:r>
              <w:rPr>
                <w:lang w:val="nl-BE"/>
              </w:rPr>
              <w:t>Geen opmerkingen.</w:t>
            </w:r>
          </w:p>
        </w:tc>
        <w:tc>
          <w:tcPr>
            <w:tcW w:w="5812" w:type="dxa"/>
            <w:gridSpan w:val="2"/>
            <w:shd w:val="clear" w:color="auto" w:fill="auto"/>
          </w:tcPr>
          <w:p w14:paraId="11D70B80" w14:textId="77777777" w:rsidR="00EB35E5" w:rsidRPr="00BE7715" w:rsidRDefault="00EB35E5" w:rsidP="00B469BF">
            <w:pPr>
              <w:spacing w:after="0" w:line="240" w:lineRule="auto"/>
              <w:jc w:val="both"/>
              <w:rPr>
                <w:lang w:val="fr-FR"/>
              </w:rPr>
            </w:pPr>
            <w:r>
              <w:rPr>
                <w:lang w:val="fr-FR"/>
              </w:rPr>
              <w:t>Pas de remarques.</w:t>
            </w:r>
          </w:p>
        </w:tc>
      </w:tr>
      <w:tr w:rsidR="00EB35E5" w:rsidRPr="00B469BF" w14:paraId="10390D64" w14:textId="77777777" w:rsidTr="00B469BF">
        <w:trPr>
          <w:trHeight w:val="553"/>
        </w:trPr>
        <w:tc>
          <w:tcPr>
            <w:tcW w:w="2122" w:type="dxa"/>
          </w:tcPr>
          <w:p w14:paraId="2DF52808" w14:textId="77777777" w:rsidR="00EB35E5" w:rsidRDefault="00EB35E5" w:rsidP="00B469BF">
            <w:pPr>
              <w:spacing w:after="0" w:line="240" w:lineRule="auto"/>
              <w:jc w:val="both"/>
            </w:pPr>
            <w:proofErr w:type="spellStart"/>
            <w:r>
              <w:t>RvSt</w:t>
            </w:r>
            <w:proofErr w:type="spellEnd"/>
            <w:r>
              <w:t xml:space="preserve"> 2</w:t>
            </w:r>
          </w:p>
        </w:tc>
        <w:tc>
          <w:tcPr>
            <w:tcW w:w="5811" w:type="dxa"/>
            <w:shd w:val="clear" w:color="auto" w:fill="auto"/>
          </w:tcPr>
          <w:p w14:paraId="310D95B9" w14:textId="77777777" w:rsidR="00EB35E5" w:rsidRPr="00BE7715" w:rsidRDefault="00EB35E5" w:rsidP="00B469BF">
            <w:pPr>
              <w:spacing w:after="0" w:line="240" w:lineRule="auto"/>
              <w:jc w:val="both"/>
              <w:rPr>
                <w:lang w:val="nl-BE"/>
              </w:rPr>
            </w:pPr>
            <w:r w:rsidRPr="00BE7715">
              <w:rPr>
                <w:lang w:val="nl-BE"/>
              </w:rPr>
              <w:t>1. De Franse tekst van het eerste lid moet aangevuld worden met de woorden “si ce nombre est inférieur” opdat hij overeenstemt met de Nederlandse tekst.</w:t>
            </w:r>
          </w:p>
          <w:p w14:paraId="7135AA61" w14:textId="77777777" w:rsidR="00EB35E5" w:rsidRPr="00BE7715" w:rsidRDefault="00EB35E5" w:rsidP="00B469BF">
            <w:pPr>
              <w:spacing w:after="0" w:line="240" w:lineRule="auto"/>
              <w:jc w:val="both"/>
              <w:rPr>
                <w:lang w:val="nl-BE"/>
              </w:rPr>
            </w:pPr>
            <w:r w:rsidRPr="00BE7715">
              <w:rPr>
                <w:lang w:val="nl-BE"/>
              </w:rPr>
              <w:t>2. In het tweede lid moet verwezen worden naar artikel 59, lid 2, tweede alinea, van verordening (EG) nr. 1435/2003, en niet naar lid 3.</w:t>
            </w:r>
          </w:p>
          <w:p w14:paraId="32D632B7" w14:textId="77777777" w:rsidR="00EB35E5" w:rsidRDefault="00EB35E5" w:rsidP="00B469BF">
            <w:pPr>
              <w:spacing w:after="0" w:line="240" w:lineRule="auto"/>
              <w:jc w:val="both"/>
              <w:rPr>
                <w:lang w:val="nl-BE"/>
              </w:rPr>
            </w:pPr>
            <w:r w:rsidRPr="00BE7715">
              <w:rPr>
                <w:lang w:val="nl-BE"/>
              </w:rPr>
              <w:t>3. In de Franse tekst van het vierde lid moeten de woorden “déterminés dans” vervangen worden door de woorden “visés à”.</w:t>
            </w:r>
          </w:p>
        </w:tc>
        <w:tc>
          <w:tcPr>
            <w:tcW w:w="5812" w:type="dxa"/>
            <w:gridSpan w:val="2"/>
            <w:shd w:val="clear" w:color="auto" w:fill="auto"/>
          </w:tcPr>
          <w:p w14:paraId="5E646A79" w14:textId="77777777" w:rsidR="00EB35E5" w:rsidRPr="00BE7715" w:rsidRDefault="00EB35E5" w:rsidP="00B469BF">
            <w:pPr>
              <w:spacing w:after="0" w:line="240" w:lineRule="auto"/>
              <w:jc w:val="both"/>
              <w:rPr>
                <w:lang w:val="fr-FR"/>
              </w:rPr>
            </w:pPr>
            <w:r w:rsidRPr="00BE7715">
              <w:rPr>
                <w:lang w:val="fr-FR"/>
              </w:rPr>
              <w:t>1. Pour qu’il corresponde au texte néerlandais, le texte français de l’alinéa 1er doit être complété par les mots « si ce nombre est inférieur ».</w:t>
            </w:r>
          </w:p>
          <w:p w14:paraId="4D55958C" w14:textId="77777777" w:rsidR="00EB35E5" w:rsidRPr="00BE7715" w:rsidRDefault="00EB35E5" w:rsidP="00B469BF">
            <w:pPr>
              <w:spacing w:after="0" w:line="240" w:lineRule="auto"/>
              <w:jc w:val="both"/>
              <w:rPr>
                <w:lang w:val="fr-FR"/>
              </w:rPr>
            </w:pPr>
            <w:r w:rsidRPr="00BE7715">
              <w:rPr>
                <w:lang w:val="fr-FR"/>
              </w:rPr>
              <w:t>2. À l’alinéa 2, il faut faire référence à l’article 59, paragraphe 2, alinéa 2, du règlement (CE) n° 1435/2003, et non au paragraphe 3.</w:t>
            </w:r>
          </w:p>
          <w:p w14:paraId="675703C8" w14:textId="77777777" w:rsidR="00EB35E5" w:rsidRPr="00BE7715" w:rsidRDefault="00EB35E5" w:rsidP="00B469BF">
            <w:pPr>
              <w:spacing w:after="0" w:line="240" w:lineRule="auto"/>
              <w:jc w:val="both"/>
              <w:rPr>
                <w:lang w:val="fr-FR"/>
              </w:rPr>
            </w:pPr>
            <w:r w:rsidRPr="00BE7715">
              <w:rPr>
                <w:lang w:val="fr-FR"/>
              </w:rPr>
              <w:t>3. Dans le texte français de l’alinéa 4, les mots « déterminés dans » seront remplacés par les mots « visés à ».</w:t>
            </w:r>
          </w:p>
        </w:tc>
      </w:tr>
      <w:tr w:rsidR="00EB35E5" w:rsidRPr="00EB35E5" w14:paraId="3E83B481" w14:textId="77777777" w:rsidTr="00B469BF">
        <w:trPr>
          <w:trHeight w:val="553"/>
        </w:trPr>
        <w:tc>
          <w:tcPr>
            <w:tcW w:w="2122" w:type="dxa"/>
          </w:tcPr>
          <w:p w14:paraId="77C360DC" w14:textId="77777777" w:rsidR="00EB35E5" w:rsidRPr="00B97F30" w:rsidRDefault="00EB35E5" w:rsidP="00B97F30">
            <w:pPr>
              <w:pStyle w:val="Kop1"/>
            </w:pPr>
            <w:proofErr w:type="spellStart"/>
            <w:r w:rsidRPr="00B97F30">
              <w:lastRenderedPageBreak/>
              <w:t>Amendement</w:t>
            </w:r>
            <w:proofErr w:type="spellEnd"/>
            <w:r w:rsidRPr="00B97F30">
              <w:t xml:space="preserve"> 312</w:t>
            </w:r>
          </w:p>
        </w:tc>
        <w:tc>
          <w:tcPr>
            <w:tcW w:w="5811" w:type="dxa"/>
            <w:shd w:val="clear" w:color="auto" w:fill="auto"/>
          </w:tcPr>
          <w:p w14:paraId="1D67C638" w14:textId="77777777" w:rsidR="00EB35E5" w:rsidRPr="00B97F30" w:rsidRDefault="00EB35E5" w:rsidP="00B469BF">
            <w:pPr>
              <w:autoSpaceDE w:val="0"/>
              <w:autoSpaceDN w:val="0"/>
              <w:adjustRightInd w:val="0"/>
              <w:spacing w:after="0" w:line="240" w:lineRule="auto"/>
              <w:jc w:val="both"/>
              <w:rPr>
                <w:rFonts w:cstheme="minorHAnsi"/>
                <w:bCs/>
                <w:lang w:val="nl-BE"/>
              </w:rPr>
            </w:pPr>
            <w:r w:rsidRPr="00B97F30">
              <w:rPr>
                <w:rFonts w:cstheme="minorHAnsi"/>
                <w:bCs/>
                <w:lang w:val="nl-BE"/>
              </w:rPr>
              <w:t>In het voorgestelde artikel 16:21, de volgende wijzigingen aanbrengen:</w:t>
            </w:r>
          </w:p>
          <w:p w14:paraId="312C1435" w14:textId="77777777" w:rsidR="00EB35E5" w:rsidRPr="00B97F30" w:rsidRDefault="00EB35E5" w:rsidP="00B469BF">
            <w:pPr>
              <w:autoSpaceDE w:val="0"/>
              <w:autoSpaceDN w:val="0"/>
              <w:adjustRightInd w:val="0"/>
              <w:spacing w:after="0" w:line="240" w:lineRule="auto"/>
              <w:jc w:val="both"/>
              <w:rPr>
                <w:rFonts w:cstheme="minorHAnsi"/>
                <w:bCs/>
                <w:lang w:val="nl-BE"/>
              </w:rPr>
            </w:pPr>
          </w:p>
          <w:p w14:paraId="03100222" w14:textId="77777777" w:rsidR="00EB35E5" w:rsidRPr="00B97F30" w:rsidRDefault="00EB35E5" w:rsidP="00B469BF">
            <w:pPr>
              <w:autoSpaceDE w:val="0"/>
              <w:autoSpaceDN w:val="0"/>
              <w:adjustRightInd w:val="0"/>
              <w:spacing w:after="0" w:line="240" w:lineRule="auto"/>
              <w:jc w:val="both"/>
              <w:rPr>
                <w:rFonts w:cstheme="minorHAnsi"/>
                <w:bCs/>
                <w:lang w:val="nl-BE"/>
              </w:rPr>
            </w:pPr>
            <w:r w:rsidRPr="00B97F30">
              <w:rPr>
                <w:rFonts w:cstheme="minorHAnsi"/>
                <w:bCs/>
                <w:lang w:val="nl-BE"/>
              </w:rPr>
              <w:t xml:space="preserve">1° de Franse tekst van het eerste lid aanvullen met de woorden </w:t>
            </w:r>
            <w:r w:rsidRPr="00B97F30">
              <w:rPr>
                <w:rFonts w:cstheme="minorHAnsi"/>
                <w:iCs/>
                <w:lang w:val="nl-BE"/>
              </w:rPr>
              <w:t>“si ce nombre est inférieur”</w:t>
            </w:r>
            <w:r w:rsidRPr="00B97F30">
              <w:rPr>
                <w:rFonts w:cstheme="minorHAnsi"/>
                <w:bCs/>
                <w:lang w:val="nl-BE"/>
              </w:rPr>
              <w:t xml:space="preserve">; 2° in het tweede lid, de woorden </w:t>
            </w:r>
            <w:r w:rsidRPr="00B97F30">
              <w:rPr>
                <w:rFonts w:cstheme="minorHAnsi"/>
                <w:lang w:val="nl-BE"/>
              </w:rPr>
              <w:t xml:space="preserve">“artikel 59, lid 3” </w:t>
            </w:r>
            <w:r w:rsidRPr="00B97F30">
              <w:rPr>
                <w:rFonts w:cstheme="minorHAnsi"/>
                <w:bCs/>
                <w:lang w:val="nl-BE"/>
              </w:rPr>
              <w:t xml:space="preserve">vervangen door de woorden </w:t>
            </w:r>
            <w:r w:rsidRPr="00B97F30">
              <w:rPr>
                <w:rFonts w:cstheme="minorHAnsi"/>
                <w:iCs/>
                <w:lang w:val="nl-BE"/>
              </w:rPr>
              <w:t>“artikel 59, lid 2”</w:t>
            </w:r>
            <w:r w:rsidRPr="00B97F30">
              <w:rPr>
                <w:rFonts w:cstheme="minorHAnsi"/>
                <w:bCs/>
                <w:lang w:val="nl-BE"/>
              </w:rPr>
              <w:t>;</w:t>
            </w:r>
          </w:p>
          <w:p w14:paraId="182E93C4" w14:textId="77777777" w:rsidR="00EB35E5" w:rsidRPr="00B97F30" w:rsidRDefault="00EB35E5" w:rsidP="00B469BF">
            <w:pPr>
              <w:autoSpaceDE w:val="0"/>
              <w:autoSpaceDN w:val="0"/>
              <w:adjustRightInd w:val="0"/>
              <w:spacing w:after="0" w:line="240" w:lineRule="auto"/>
              <w:jc w:val="both"/>
              <w:rPr>
                <w:rFonts w:cstheme="minorHAnsi"/>
                <w:bCs/>
                <w:lang w:val="nl-BE"/>
              </w:rPr>
            </w:pPr>
          </w:p>
          <w:p w14:paraId="4DE78FA2" w14:textId="77777777" w:rsidR="00EB35E5" w:rsidRPr="00B97F30" w:rsidRDefault="00EB35E5" w:rsidP="00B469BF">
            <w:pPr>
              <w:autoSpaceDE w:val="0"/>
              <w:autoSpaceDN w:val="0"/>
              <w:adjustRightInd w:val="0"/>
              <w:spacing w:after="0" w:line="240" w:lineRule="auto"/>
              <w:jc w:val="both"/>
              <w:rPr>
                <w:rFonts w:cstheme="minorHAnsi"/>
                <w:bCs/>
                <w:lang w:val="nl-BE"/>
              </w:rPr>
            </w:pPr>
            <w:r w:rsidRPr="00B97F30">
              <w:rPr>
                <w:rFonts w:cstheme="minorHAnsi"/>
                <w:bCs/>
                <w:lang w:val="nl-BE"/>
              </w:rPr>
              <w:t xml:space="preserve">3° in de Franse tekst van het vierde lid, de woorden </w:t>
            </w:r>
            <w:r w:rsidRPr="00B97F30">
              <w:rPr>
                <w:rFonts w:cstheme="minorHAnsi"/>
                <w:lang w:val="nl-BE"/>
              </w:rPr>
              <w:t xml:space="preserve">“déterminés dans” </w:t>
            </w:r>
            <w:r w:rsidRPr="00B97F30">
              <w:rPr>
                <w:rFonts w:cstheme="minorHAnsi"/>
                <w:bCs/>
                <w:lang w:val="nl-BE"/>
              </w:rPr>
              <w:t xml:space="preserve">vervangen door de woorden </w:t>
            </w:r>
            <w:r w:rsidRPr="00B97F30">
              <w:rPr>
                <w:rFonts w:cstheme="minorHAnsi"/>
                <w:iCs/>
                <w:lang w:val="nl-BE"/>
              </w:rPr>
              <w:t>“visés à”</w:t>
            </w:r>
            <w:r w:rsidRPr="00B97F30">
              <w:rPr>
                <w:rFonts w:cstheme="minorHAnsi"/>
                <w:bCs/>
                <w:lang w:val="nl-BE"/>
              </w:rPr>
              <w:t>.</w:t>
            </w:r>
          </w:p>
          <w:p w14:paraId="477E2AFE" w14:textId="77777777" w:rsidR="00EB35E5" w:rsidRPr="00B97F30" w:rsidRDefault="00EB35E5" w:rsidP="00B469BF">
            <w:pPr>
              <w:autoSpaceDE w:val="0"/>
              <w:autoSpaceDN w:val="0"/>
              <w:adjustRightInd w:val="0"/>
              <w:spacing w:after="0" w:line="240" w:lineRule="auto"/>
              <w:jc w:val="both"/>
              <w:rPr>
                <w:rFonts w:cstheme="minorHAnsi"/>
                <w:bCs/>
                <w:lang w:val="nl-BE"/>
              </w:rPr>
            </w:pPr>
          </w:p>
          <w:p w14:paraId="4E4436C0" w14:textId="77777777" w:rsidR="00EB35E5" w:rsidRPr="00B97F30" w:rsidRDefault="00EB35E5" w:rsidP="00B469BF">
            <w:pPr>
              <w:autoSpaceDE w:val="0"/>
              <w:autoSpaceDN w:val="0"/>
              <w:adjustRightInd w:val="0"/>
              <w:spacing w:after="0" w:line="240" w:lineRule="auto"/>
              <w:jc w:val="both"/>
              <w:rPr>
                <w:rFonts w:cstheme="minorHAnsi"/>
                <w:lang w:val="nl-BE"/>
              </w:rPr>
            </w:pPr>
            <w:r w:rsidRPr="00B97F30">
              <w:rPr>
                <w:rFonts w:cstheme="minorHAnsi"/>
                <w:lang w:val="nl-BE"/>
              </w:rPr>
              <w:t>VERANTWOORDING</w:t>
            </w:r>
          </w:p>
          <w:p w14:paraId="29F553D8" w14:textId="77777777" w:rsidR="00EB35E5" w:rsidRPr="00B97F30" w:rsidRDefault="00EB35E5" w:rsidP="00B469BF">
            <w:pPr>
              <w:autoSpaceDE w:val="0"/>
              <w:autoSpaceDN w:val="0"/>
              <w:adjustRightInd w:val="0"/>
              <w:spacing w:after="0" w:line="240" w:lineRule="auto"/>
              <w:jc w:val="both"/>
              <w:rPr>
                <w:rFonts w:cstheme="minorHAnsi"/>
                <w:lang w:val="nl-BE"/>
              </w:rPr>
            </w:pPr>
          </w:p>
          <w:p w14:paraId="439E551E" w14:textId="77777777" w:rsidR="00EB35E5" w:rsidRPr="00B97F30" w:rsidRDefault="00EB35E5" w:rsidP="00B469BF">
            <w:pPr>
              <w:spacing w:after="0" w:line="240" w:lineRule="auto"/>
              <w:jc w:val="both"/>
              <w:rPr>
                <w:rFonts w:cstheme="minorHAnsi"/>
                <w:lang w:val="nl-BE"/>
              </w:rPr>
            </w:pPr>
            <w:r w:rsidRPr="00B97F30">
              <w:rPr>
                <w:rFonts w:cstheme="minorHAnsi"/>
                <w:lang w:val="nl-BE"/>
              </w:rPr>
              <w:t>Dit amendement corrigeert materiële vergissingen.</w:t>
            </w:r>
          </w:p>
        </w:tc>
        <w:tc>
          <w:tcPr>
            <w:tcW w:w="5812" w:type="dxa"/>
            <w:gridSpan w:val="2"/>
            <w:shd w:val="clear" w:color="auto" w:fill="auto"/>
          </w:tcPr>
          <w:p w14:paraId="2C343CF6" w14:textId="77777777" w:rsidR="00EB35E5" w:rsidRPr="00B97F30" w:rsidRDefault="00EB35E5" w:rsidP="00B469BF">
            <w:pPr>
              <w:autoSpaceDE w:val="0"/>
              <w:autoSpaceDN w:val="0"/>
              <w:adjustRightInd w:val="0"/>
              <w:spacing w:after="0" w:line="240" w:lineRule="auto"/>
              <w:jc w:val="both"/>
              <w:rPr>
                <w:rFonts w:cstheme="minorHAnsi"/>
                <w:bCs/>
                <w:lang w:val="fr-FR"/>
              </w:rPr>
            </w:pPr>
            <w:r w:rsidRPr="00B97F30">
              <w:rPr>
                <w:rFonts w:cstheme="minorHAnsi"/>
                <w:bCs/>
                <w:lang w:val="fr-FR"/>
              </w:rPr>
              <w:t xml:space="preserve">Dans l’article </w:t>
            </w:r>
            <w:proofErr w:type="gramStart"/>
            <w:r w:rsidRPr="00B97F30">
              <w:rPr>
                <w:rFonts w:cstheme="minorHAnsi"/>
                <w:bCs/>
                <w:lang w:val="fr-FR"/>
              </w:rPr>
              <w:t>16:</w:t>
            </w:r>
            <w:proofErr w:type="gramEnd"/>
            <w:r w:rsidRPr="00B97F30">
              <w:rPr>
                <w:rFonts w:cstheme="minorHAnsi"/>
                <w:bCs/>
                <w:lang w:val="fr-FR"/>
              </w:rPr>
              <w:t>21 proposé, apporter les modifications suivantes:</w:t>
            </w:r>
          </w:p>
          <w:p w14:paraId="6B1373C5" w14:textId="77777777" w:rsidR="00EB35E5" w:rsidRPr="00B97F30" w:rsidRDefault="00EB35E5" w:rsidP="00B469BF">
            <w:pPr>
              <w:autoSpaceDE w:val="0"/>
              <w:autoSpaceDN w:val="0"/>
              <w:adjustRightInd w:val="0"/>
              <w:spacing w:after="0" w:line="240" w:lineRule="auto"/>
              <w:jc w:val="both"/>
              <w:rPr>
                <w:rFonts w:cstheme="minorHAnsi"/>
                <w:bCs/>
                <w:lang w:val="fr-FR"/>
              </w:rPr>
            </w:pPr>
          </w:p>
          <w:p w14:paraId="644D3491" w14:textId="77777777" w:rsidR="00EB35E5" w:rsidRPr="00B97F30" w:rsidRDefault="00EB35E5" w:rsidP="00B469BF">
            <w:pPr>
              <w:autoSpaceDE w:val="0"/>
              <w:autoSpaceDN w:val="0"/>
              <w:adjustRightInd w:val="0"/>
              <w:spacing w:after="0" w:line="240" w:lineRule="auto"/>
              <w:jc w:val="both"/>
              <w:rPr>
                <w:rFonts w:cstheme="minorHAnsi"/>
                <w:bCs/>
                <w:lang w:val="fr-FR"/>
              </w:rPr>
            </w:pPr>
            <w:r w:rsidRPr="00B97F30">
              <w:rPr>
                <w:rFonts w:cstheme="minorHAnsi"/>
                <w:bCs/>
                <w:lang w:val="fr-FR"/>
              </w:rPr>
              <w:t xml:space="preserve">1° compléter l’alinéa 1er par les mots </w:t>
            </w:r>
            <w:r w:rsidRPr="00B97F30">
              <w:rPr>
                <w:rFonts w:cstheme="minorHAnsi"/>
                <w:iCs/>
                <w:lang w:val="fr-FR"/>
              </w:rPr>
              <w:t>“si ce nombre est inférieur</w:t>
            </w:r>
            <w:proofErr w:type="gramStart"/>
            <w:r w:rsidRPr="00B97F30">
              <w:rPr>
                <w:rFonts w:cstheme="minorHAnsi"/>
                <w:iCs/>
                <w:lang w:val="fr-FR"/>
              </w:rPr>
              <w:t>”</w:t>
            </w:r>
            <w:r w:rsidRPr="00B97F30">
              <w:rPr>
                <w:rFonts w:cstheme="minorHAnsi"/>
                <w:bCs/>
                <w:lang w:val="fr-FR"/>
              </w:rPr>
              <w:t>;</w:t>
            </w:r>
            <w:proofErr w:type="gramEnd"/>
          </w:p>
          <w:p w14:paraId="00E67D04" w14:textId="77777777" w:rsidR="00EB35E5" w:rsidRPr="00B97F30" w:rsidRDefault="00EB35E5" w:rsidP="00B469BF">
            <w:pPr>
              <w:autoSpaceDE w:val="0"/>
              <w:autoSpaceDN w:val="0"/>
              <w:adjustRightInd w:val="0"/>
              <w:spacing w:after="0" w:line="240" w:lineRule="auto"/>
              <w:jc w:val="both"/>
              <w:rPr>
                <w:rFonts w:cstheme="minorHAnsi"/>
                <w:bCs/>
                <w:lang w:val="fr-FR"/>
              </w:rPr>
            </w:pPr>
          </w:p>
          <w:p w14:paraId="2556A9DE" w14:textId="77777777" w:rsidR="00EB35E5" w:rsidRPr="00B97F30" w:rsidRDefault="00EB35E5" w:rsidP="00B469BF">
            <w:pPr>
              <w:autoSpaceDE w:val="0"/>
              <w:autoSpaceDN w:val="0"/>
              <w:adjustRightInd w:val="0"/>
              <w:spacing w:after="0" w:line="240" w:lineRule="auto"/>
              <w:jc w:val="both"/>
              <w:rPr>
                <w:rFonts w:cstheme="minorHAnsi"/>
                <w:bCs/>
                <w:lang w:val="fr-FR"/>
              </w:rPr>
            </w:pPr>
            <w:r w:rsidRPr="00B97F30">
              <w:rPr>
                <w:rFonts w:cstheme="minorHAnsi"/>
                <w:bCs/>
                <w:lang w:val="fr-FR"/>
              </w:rPr>
              <w:t xml:space="preserve">2° à l’alinéa 2, remplacer les mots </w:t>
            </w:r>
            <w:r w:rsidRPr="00B97F30">
              <w:rPr>
                <w:rFonts w:cstheme="minorHAnsi"/>
                <w:lang w:val="fr-FR"/>
              </w:rPr>
              <w:t xml:space="preserve">“l’article 59, § 3” </w:t>
            </w:r>
            <w:r w:rsidRPr="00B97F30">
              <w:rPr>
                <w:rFonts w:cstheme="minorHAnsi"/>
                <w:bCs/>
                <w:lang w:val="fr-FR"/>
              </w:rPr>
              <w:t xml:space="preserve">par les mots </w:t>
            </w:r>
            <w:r w:rsidRPr="00B97F30">
              <w:rPr>
                <w:rFonts w:cstheme="minorHAnsi"/>
                <w:iCs/>
                <w:lang w:val="fr-FR"/>
              </w:rPr>
              <w:t>“l’article 5</w:t>
            </w:r>
            <w:bookmarkStart w:id="0" w:name="_GoBack"/>
            <w:bookmarkEnd w:id="0"/>
            <w:r w:rsidRPr="00B97F30">
              <w:rPr>
                <w:rFonts w:cstheme="minorHAnsi"/>
                <w:iCs/>
                <w:lang w:val="fr-FR"/>
              </w:rPr>
              <w:t>9, § 2</w:t>
            </w:r>
            <w:proofErr w:type="gramStart"/>
            <w:r w:rsidRPr="00B97F30">
              <w:rPr>
                <w:rFonts w:cstheme="minorHAnsi"/>
                <w:iCs/>
                <w:lang w:val="fr-FR"/>
              </w:rPr>
              <w:t>”</w:t>
            </w:r>
            <w:r w:rsidRPr="00B97F30">
              <w:rPr>
                <w:rFonts w:cstheme="minorHAnsi"/>
                <w:bCs/>
                <w:lang w:val="fr-FR"/>
              </w:rPr>
              <w:t>;</w:t>
            </w:r>
            <w:proofErr w:type="gramEnd"/>
          </w:p>
          <w:p w14:paraId="08BF71F6" w14:textId="77777777" w:rsidR="00EB35E5" w:rsidRPr="00B97F30" w:rsidRDefault="00EB35E5" w:rsidP="00B469BF">
            <w:pPr>
              <w:autoSpaceDE w:val="0"/>
              <w:autoSpaceDN w:val="0"/>
              <w:adjustRightInd w:val="0"/>
              <w:spacing w:after="0" w:line="240" w:lineRule="auto"/>
              <w:jc w:val="both"/>
              <w:rPr>
                <w:rFonts w:cstheme="minorHAnsi"/>
                <w:bCs/>
                <w:lang w:val="fr-FR"/>
              </w:rPr>
            </w:pPr>
          </w:p>
          <w:p w14:paraId="33838DD9" w14:textId="77777777" w:rsidR="00EB35E5" w:rsidRPr="00B97F30" w:rsidRDefault="00EB35E5" w:rsidP="00B469BF">
            <w:pPr>
              <w:autoSpaceDE w:val="0"/>
              <w:autoSpaceDN w:val="0"/>
              <w:adjustRightInd w:val="0"/>
              <w:spacing w:after="0" w:line="240" w:lineRule="auto"/>
              <w:jc w:val="both"/>
              <w:rPr>
                <w:rFonts w:cstheme="minorHAnsi"/>
                <w:bCs/>
                <w:lang w:val="fr-FR"/>
              </w:rPr>
            </w:pPr>
            <w:r w:rsidRPr="00B97F30">
              <w:rPr>
                <w:rFonts w:cstheme="minorHAnsi"/>
                <w:bCs/>
                <w:lang w:val="fr-FR"/>
              </w:rPr>
              <w:t xml:space="preserve">3° à l’alinéa 4, remplacer les mots </w:t>
            </w:r>
            <w:r w:rsidRPr="00B97F30">
              <w:rPr>
                <w:rFonts w:cstheme="minorHAnsi"/>
                <w:lang w:val="fr-FR"/>
              </w:rPr>
              <w:t xml:space="preserve">“déterminés dans” </w:t>
            </w:r>
            <w:r w:rsidRPr="00B97F30">
              <w:rPr>
                <w:rFonts w:cstheme="minorHAnsi"/>
                <w:bCs/>
                <w:lang w:val="fr-FR"/>
              </w:rPr>
              <w:t xml:space="preserve">par les mots </w:t>
            </w:r>
            <w:r w:rsidRPr="00B97F30">
              <w:rPr>
                <w:rFonts w:cstheme="minorHAnsi"/>
                <w:iCs/>
                <w:lang w:val="fr-FR"/>
              </w:rPr>
              <w:t>“visés à”</w:t>
            </w:r>
            <w:r w:rsidRPr="00B97F30">
              <w:rPr>
                <w:rFonts w:cstheme="minorHAnsi"/>
                <w:bCs/>
                <w:lang w:val="fr-FR"/>
              </w:rPr>
              <w:t>.</w:t>
            </w:r>
          </w:p>
          <w:p w14:paraId="58E584C0" w14:textId="77777777" w:rsidR="00EB35E5" w:rsidRPr="00B97F30" w:rsidRDefault="00EB35E5" w:rsidP="00B469BF">
            <w:pPr>
              <w:autoSpaceDE w:val="0"/>
              <w:autoSpaceDN w:val="0"/>
              <w:adjustRightInd w:val="0"/>
              <w:spacing w:after="0" w:line="240" w:lineRule="auto"/>
              <w:jc w:val="both"/>
              <w:rPr>
                <w:rFonts w:cstheme="minorHAnsi"/>
                <w:lang w:val="fr-FR"/>
              </w:rPr>
            </w:pPr>
          </w:p>
          <w:p w14:paraId="7822A3CF" w14:textId="77777777" w:rsidR="00EB35E5" w:rsidRPr="00B97F30" w:rsidRDefault="00EB35E5" w:rsidP="00B469BF">
            <w:pPr>
              <w:autoSpaceDE w:val="0"/>
              <w:autoSpaceDN w:val="0"/>
              <w:adjustRightInd w:val="0"/>
              <w:spacing w:after="0" w:line="240" w:lineRule="auto"/>
              <w:jc w:val="both"/>
              <w:rPr>
                <w:rFonts w:cstheme="minorHAnsi"/>
                <w:lang w:val="fr-FR"/>
              </w:rPr>
            </w:pPr>
            <w:r w:rsidRPr="00B97F30">
              <w:rPr>
                <w:rFonts w:cstheme="minorHAnsi"/>
                <w:lang w:val="fr-FR"/>
              </w:rPr>
              <w:t>JUSTIFICATION</w:t>
            </w:r>
          </w:p>
          <w:p w14:paraId="63F32D7D" w14:textId="77777777" w:rsidR="00EB35E5" w:rsidRPr="00B97F30" w:rsidRDefault="00EB35E5" w:rsidP="00B469BF">
            <w:pPr>
              <w:autoSpaceDE w:val="0"/>
              <w:autoSpaceDN w:val="0"/>
              <w:adjustRightInd w:val="0"/>
              <w:spacing w:after="0" w:line="240" w:lineRule="auto"/>
              <w:jc w:val="both"/>
              <w:rPr>
                <w:rFonts w:cstheme="minorHAnsi"/>
                <w:lang w:val="fr-FR"/>
              </w:rPr>
            </w:pPr>
          </w:p>
          <w:p w14:paraId="032506D4" w14:textId="77777777" w:rsidR="00EB35E5" w:rsidRPr="00B97F30" w:rsidRDefault="00EB35E5" w:rsidP="00B469BF">
            <w:pPr>
              <w:autoSpaceDE w:val="0"/>
              <w:autoSpaceDN w:val="0"/>
              <w:adjustRightInd w:val="0"/>
              <w:spacing w:after="0" w:line="240" w:lineRule="auto"/>
              <w:jc w:val="both"/>
              <w:rPr>
                <w:rFonts w:cstheme="minorHAnsi"/>
                <w:lang w:val="fr-FR"/>
              </w:rPr>
            </w:pPr>
            <w:r w:rsidRPr="00B97F30">
              <w:rPr>
                <w:rFonts w:cstheme="minorHAnsi"/>
                <w:lang w:val="fr-FR"/>
              </w:rPr>
              <w:t>Cet amendement a pour objet de corriger des erreurs matérielles.</w:t>
            </w:r>
          </w:p>
        </w:tc>
      </w:tr>
    </w:tbl>
    <w:p w14:paraId="5DB08943" w14:textId="77777777" w:rsidR="001203BA" w:rsidRPr="00BE7715" w:rsidRDefault="001203BA" w:rsidP="001203BA">
      <w:pPr>
        <w:rPr>
          <w:lang w:val="fr-FR"/>
        </w:rPr>
      </w:pPr>
    </w:p>
    <w:p w14:paraId="588EBC5C" w14:textId="77777777" w:rsidR="00A820D7" w:rsidRPr="00BE7715" w:rsidRDefault="00A820D7">
      <w:pPr>
        <w:rPr>
          <w:lang w:val="fr-FR"/>
        </w:rPr>
      </w:pPr>
    </w:p>
    <w:sectPr w:rsidR="00A820D7" w:rsidRPr="00BE771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64F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93A2B"/>
    <w:rsid w:val="000A2E18"/>
    <w:rsid w:val="000B17B4"/>
    <w:rsid w:val="000D6EAF"/>
    <w:rsid w:val="000E14C5"/>
    <w:rsid w:val="000F28E4"/>
    <w:rsid w:val="000F52FF"/>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502CB1"/>
    <w:rsid w:val="005133BD"/>
    <w:rsid w:val="00513F84"/>
    <w:rsid w:val="00525185"/>
    <w:rsid w:val="00534740"/>
    <w:rsid w:val="005364B4"/>
    <w:rsid w:val="005415E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6C06"/>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469BF"/>
    <w:rsid w:val="00B50606"/>
    <w:rsid w:val="00B61E27"/>
    <w:rsid w:val="00B6333A"/>
    <w:rsid w:val="00B779CF"/>
    <w:rsid w:val="00B9162B"/>
    <w:rsid w:val="00B9723E"/>
    <w:rsid w:val="00B97CC3"/>
    <w:rsid w:val="00B97F30"/>
    <w:rsid w:val="00BA0E76"/>
    <w:rsid w:val="00BA1659"/>
    <w:rsid w:val="00BA26D2"/>
    <w:rsid w:val="00BB376A"/>
    <w:rsid w:val="00BD2DC6"/>
    <w:rsid w:val="00BE2349"/>
    <w:rsid w:val="00BE7715"/>
    <w:rsid w:val="00BF1861"/>
    <w:rsid w:val="00C01CC2"/>
    <w:rsid w:val="00C01CFA"/>
    <w:rsid w:val="00C12A40"/>
    <w:rsid w:val="00C162B3"/>
    <w:rsid w:val="00C166D1"/>
    <w:rsid w:val="00C1753D"/>
    <w:rsid w:val="00C4014C"/>
    <w:rsid w:val="00C47A8C"/>
    <w:rsid w:val="00C52F6F"/>
    <w:rsid w:val="00C72E4C"/>
    <w:rsid w:val="00C80883"/>
    <w:rsid w:val="00C80921"/>
    <w:rsid w:val="00C86467"/>
    <w:rsid w:val="00C86CC5"/>
    <w:rsid w:val="00C91A38"/>
    <w:rsid w:val="00C9498E"/>
    <w:rsid w:val="00CA1557"/>
    <w:rsid w:val="00CA5454"/>
    <w:rsid w:val="00CB08CB"/>
    <w:rsid w:val="00CB210A"/>
    <w:rsid w:val="00CB6FFB"/>
    <w:rsid w:val="00CC6422"/>
    <w:rsid w:val="00D22227"/>
    <w:rsid w:val="00D42D9B"/>
    <w:rsid w:val="00D46773"/>
    <w:rsid w:val="00D637E1"/>
    <w:rsid w:val="00D66D82"/>
    <w:rsid w:val="00D751E3"/>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35E5"/>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D7994"/>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CE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97F3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B97F30"/>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4709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2019-11-08T11:02:00Z</dcterms:created>
  <dcterms:modified xsi:type="dcterms:W3CDTF">2022-02-07T14:57:00Z</dcterms:modified>
</cp:coreProperties>
</file>