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906"/>
        <w:gridCol w:w="5529"/>
        <w:gridCol w:w="283"/>
      </w:tblGrid>
      <w:tr w:rsidR="00886246" w:rsidRPr="00886246" w14:paraId="57A2ED6C" w14:textId="77777777" w:rsidTr="00794FA0">
        <w:tc>
          <w:tcPr>
            <w:tcW w:w="13698" w:type="dxa"/>
            <w:gridSpan w:val="3"/>
          </w:tcPr>
          <w:p w14:paraId="2E6E41FC" w14:textId="77777777" w:rsidR="00886246" w:rsidRDefault="00886246" w:rsidP="0046324F">
            <w:pPr>
              <w:rPr>
                <w:b/>
                <w:sz w:val="32"/>
                <w:szCs w:val="32"/>
                <w:lang w:val="nl-BE"/>
              </w:rPr>
            </w:pPr>
            <w:r>
              <w:rPr>
                <w:b/>
                <w:sz w:val="32"/>
                <w:szCs w:val="32"/>
                <w:lang w:val="nl-BE"/>
              </w:rPr>
              <w:t>Titel 4. – K</w:t>
            </w:r>
            <w:r w:rsidRPr="00886246">
              <w:rPr>
                <w:b/>
                <w:sz w:val="32"/>
                <w:szCs w:val="32"/>
                <w:lang w:val="nl-BE"/>
              </w:rPr>
              <w:t>apitaal en aandelen.</w:t>
            </w:r>
          </w:p>
        </w:tc>
        <w:tc>
          <w:tcPr>
            <w:tcW w:w="283" w:type="dxa"/>
            <w:shd w:val="clear" w:color="auto" w:fill="auto"/>
          </w:tcPr>
          <w:p w14:paraId="56E62EEC" w14:textId="77777777" w:rsidR="00886246" w:rsidRPr="007B17CA" w:rsidRDefault="00886246" w:rsidP="0046324F">
            <w:pPr>
              <w:jc w:val="center"/>
              <w:rPr>
                <w:rFonts w:ascii="Cambria" w:eastAsia="Calibri" w:hAnsi="Cambria" w:cs="Times New Roman"/>
                <w:b/>
                <w:bCs/>
                <w:color w:val="4F81BD"/>
                <w:sz w:val="32"/>
                <w:szCs w:val="26"/>
                <w:lang w:val="nl-NL" w:eastAsia="fr-FR"/>
              </w:rPr>
            </w:pPr>
          </w:p>
        </w:tc>
      </w:tr>
      <w:tr w:rsidR="001203BA" w:rsidRPr="00886246" w14:paraId="03871712" w14:textId="77777777" w:rsidTr="00794FA0">
        <w:tc>
          <w:tcPr>
            <w:tcW w:w="2263" w:type="dxa"/>
          </w:tcPr>
          <w:p w14:paraId="207B3256" w14:textId="77777777" w:rsidR="001203BA" w:rsidRPr="00B07AC9" w:rsidRDefault="00556D0E" w:rsidP="0046324F">
            <w:pPr>
              <w:rPr>
                <w:b/>
                <w:sz w:val="32"/>
                <w:szCs w:val="32"/>
                <w:lang w:val="nl-BE"/>
              </w:rPr>
            </w:pPr>
            <w:r>
              <w:rPr>
                <w:b/>
                <w:sz w:val="32"/>
                <w:szCs w:val="32"/>
                <w:lang w:val="nl-BE"/>
              </w:rPr>
              <w:t>ARTIKEL 16:</w:t>
            </w:r>
            <w:r w:rsidR="00C65CB4">
              <w:rPr>
                <w:b/>
                <w:sz w:val="32"/>
                <w:szCs w:val="32"/>
                <w:lang w:val="nl-BE"/>
              </w:rPr>
              <w:t>21</w:t>
            </w:r>
          </w:p>
        </w:tc>
        <w:tc>
          <w:tcPr>
            <w:tcW w:w="11718" w:type="dxa"/>
            <w:gridSpan w:val="3"/>
            <w:shd w:val="clear" w:color="auto" w:fill="auto"/>
          </w:tcPr>
          <w:p w14:paraId="3146C883" w14:textId="77777777" w:rsidR="001203BA" w:rsidRPr="007B17CA" w:rsidRDefault="001203BA" w:rsidP="0046324F">
            <w:pPr>
              <w:jc w:val="center"/>
              <w:rPr>
                <w:rFonts w:ascii="Cambria" w:eastAsia="Calibri" w:hAnsi="Cambria" w:cs="Times New Roman"/>
                <w:b/>
                <w:bCs/>
                <w:color w:val="4F81BD"/>
                <w:sz w:val="32"/>
                <w:szCs w:val="26"/>
                <w:lang w:val="nl-NL" w:eastAsia="fr-FR"/>
              </w:rPr>
            </w:pPr>
          </w:p>
        </w:tc>
      </w:tr>
      <w:tr w:rsidR="00B872AE" w:rsidRPr="00886246" w14:paraId="36F92B4B" w14:textId="77777777" w:rsidTr="00794FA0">
        <w:tc>
          <w:tcPr>
            <w:tcW w:w="2263" w:type="dxa"/>
          </w:tcPr>
          <w:p w14:paraId="708CB9F8" w14:textId="77777777" w:rsidR="00B872AE" w:rsidRDefault="00B872AE" w:rsidP="0046324F">
            <w:pPr>
              <w:rPr>
                <w:b/>
                <w:sz w:val="32"/>
                <w:szCs w:val="32"/>
                <w:lang w:val="nl-BE"/>
              </w:rPr>
            </w:pPr>
          </w:p>
        </w:tc>
        <w:tc>
          <w:tcPr>
            <w:tcW w:w="11718" w:type="dxa"/>
            <w:gridSpan w:val="3"/>
            <w:shd w:val="clear" w:color="auto" w:fill="auto"/>
          </w:tcPr>
          <w:p w14:paraId="61C75448" w14:textId="77777777" w:rsidR="00B872AE" w:rsidRPr="007B17CA" w:rsidRDefault="00B872AE" w:rsidP="0046324F">
            <w:pPr>
              <w:jc w:val="center"/>
              <w:rPr>
                <w:rFonts w:ascii="Cambria" w:eastAsia="Calibri" w:hAnsi="Cambria" w:cs="Times New Roman"/>
                <w:b/>
                <w:bCs/>
                <w:color w:val="4F81BD"/>
                <w:sz w:val="32"/>
                <w:szCs w:val="26"/>
                <w:lang w:val="nl-NL" w:eastAsia="fr-FR"/>
              </w:rPr>
            </w:pPr>
          </w:p>
        </w:tc>
      </w:tr>
      <w:tr w:rsidR="00C65CB4" w:rsidRPr="00D17E78" w14:paraId="331A92E7" w14:textId="77777777" w:rsidTr="00794FA0">
        <w:trPr>
          <w:trHeight w:val="1406"/>
        </w:trPr>
        <w:tc>
          <w:tcPr>
            <w:tcW w:w="2263" w:type="dxa"/>
          </w:tcPr>
          <w:p w14:paraId="0FFEAD9F" w14:textId="77777777" w:rsidR="00C65CB4" w:rsidRDefault="00C65CB4" w:rsidP="0046324F">
            <w:pPr>
              <w:spacing w:after="0" w:line="240" w:lineRule="auto"/>
              <w:jc w:val="both"/>
              <w:rPr>
                <w:rFonts w:cs="Calibri"/>
                <w:lang w:val="nl-BE"/>
              </w:rPr>
            </w:pPr>
            <w:r>
              <w:rPr>
                <w:rFonts w:cs="Calibri"/>
                <w:lang w:val="nl-BE"/>
              </w:rPr>
              <w:t>WVV</w:t>
            </w:r>
          </w:p>
        </w:tc>
        <w:tc>
          <w:tcPr>
            <w:tcW w:w="5906" w:type="dxa"/>
            <w:shd w:val="clear" w:color="auto" w:fill="auto"/>
          </w:tcPr>
          <w:p w14:paraId="38576A47" w14:textId="03B4E79F" w:rsidR="00C65CB4" w:rsidRPr="00F9566B" w:rsidRDefault="00E47E52" w:rsidP="0046324F">
            <w:pPr>
              <w:spacing w:after="0" w:line="240" w:lineRule="auto"/>
              <w:jc w:val="both"/>
              <w:rPr>
                <w:rFonts w:cs="Calibri"/>
                <w:lang w:val="nl-BE"/>
              </w:rPr>
            </w:pPr>
            <w:hyperlink w:anchor="_Amendement_313" w:history="1">
              <w:r w:rsidR="00C65CB4" w:rsidRPr="00E47E52">
                <w:rPr>
                  <w:rStyle w:val="Hyperlink"/>
                  <w:rFonts w:cs="Calibri"/>
                  <w:lang w:val="nl-BE"/>
                </w:rPr>
                <w:t>Artikel 7:7</w:t>
              </w:r>
            </w:hyperlink>
            <w:r w:rsidR="00C65CB4" w:rsidRPr="00F9566B">
              <w:rPr>
                <w:rFonts w:cs="Calibri"/>
                <w:lang w:val="nl-BE"/>
              </w:rPr>
              <w:t xml:space="preserve"> </w:t>
            </w:r>
            <w:r w:rsidR="00C65CB4">
              <w:rPr>
                <w:rFonts w:cs="Calibri"/>
                <w:lang w:val="nl-BE"/>
              </w:rPr>
              <w:t>is</w:t>
            </w:r>
            <w:r w:rsidR="00C65CB4" w:rsidRPr="00F9566B">
              <w:rPr>
                <w:rFonts w:cs="Calibri"/>
                <w:lang w:val="nl-BE"/>
              </w:rPr>
              <w:t xml:space="preserve"> van overeenkomstige toepassing in geval van inbreng in natura bij oprichting.</w:t>
            </w:r>
          </w:p>
          <w:p w14:paraId="0C950481" w14:textId="77777777" w:rsidR="00C65CB4" w:rsidRPr="00F9566B" w:rsidRDefault="00C65CB4" w:rsidP="0046324F">
            <w:pPr>
              <w:spacing w:after="0" w:line="240" w:lineRule="auto"/>
              <w:jc w:val="both"/>
              <w:rPr>
                <w:rFonts w:cs="Calibri"/>
                <w:lang w:val="nl-BE"/>
              </w:rPr>
            </w:pPr>
          </w:p>
          <w:p w14:paraId="4BDA931E" w14:textId="5F62EFCC" w:rsidR="00C65CB4" w:rsidRPr="00F9566B" w:rsidRDefault="001C04BE" w:rsidP="0046324F">
            <w:pPr>
              <w:spacing w:after="0" w:line="240" w:lineRule="auto"/>
              <w:jc w:val="both"/>
              <w:rPr>
                <w:rFonts w:cs="Calibri"/>
                <w:lang w:val="nl-BE"/>
              </w:rPr>
            </w:pPr>
            <w:hyperlink w:anchor="_Amendement_313_2" w:history="1">
              <w:r w:rsidR="00C65CB4" w:rsidRPr="001C04BE">
                <w:rPr>
                  <w:rStyle w:val="Hyperlink"/>
                  <w:rFonts w:cs="Calibri"/>
                  <w:lang w:val="nl-BE"/>
                </w:rPr>
                <w:t>Artikel 7:197</w:t>
              </w:r>
            </w:hyperlink>
            <w:r w:rsidR="00C65CB4" w:rsidRPr="00F9566B">
              <w:rPr>
                <w:rFonts w:cs="Calibri"/>
                <w:lang w:val="nl-BE"/>
              </w:rPr>
              <w:t xml:space="preserve"> is van overeenkomstige toepassing in geval van inbreng in natura bij kapitaalverhoging</w:t>
            </w:r>
            <w:r w:rsidR="00C65CB4">
              <w:rPr>
                <w:rFonts w:cs="Calibri"/>
                <w:lang w:val="nl-BE"/>
              </w:rPr>
              <w:t>.</w:t>
            </w:r>
          </w:p>
        </w:tc>
        <w:tc>
          <w:tcPr>
            <w:tcW w:w="5812" w:type="dxa"/>
            <w:gridSpan w:val="2"/>
            <w:shd w:val="clear" w:color="auto" w:fill="auto"/>
          </w:tcPr>
          <w:p w14:paraId="1B4ABFF7" w14:textId="28F904ED" w:rsidR="00C65CB4" w:rsidRPr="00C65CB4" w:rsidRDefault="001C04BE" w:rsidP="0046324F">
            <w:pPr>
              <w:spacing w:after="0" w:line="240" w:lineRule="auto"/>
              <w:jc w:val="both"/>
              <w:rPr>
                <w:rFonts w:cs="Calibri"/>
                <w:lang w:val="fr-BE"/>
              </w:rPr>
            </w:pPr>
            <w:hyperlink w:anchor="_Amendement_313_1" w:history="1">
              <w:r w:rsidR="00C65CB4" w:rsidRPr="001C04BE">
                <w:rPr>
                  <w:rStyle w:val="Hyperlink"/>
                  <w:rFonts w:cs="Calibri"/>
                  <w:lang w:val="fr-FR"/>
                </w:rPr>
                <w:t xml:space="preserve">L’article </w:t>
              </w:r>
              <w:proofErr w:type="gramStart"/>
              <w:r w:rsidR="00C65CB4" w:rsidRPr="001C04BE">
                <w:rPr>
                  <w:rStyle w:val="Hyperlink"/>
                  <w:rFonts w:cs="Calibri"/>
                  <w:lang w:val="fr-FR"/>
                </w:rPr>
                <w:t>7:</w:t>
              </w:r>
              <w:proofErr w:type="gramEnd"/>
              <w:r w:rsidR="00C65CB4" w:rsidRPr="001C04BE">
                <w:rPr>
                  <w:rStyle w:val="Hyperlink"/>
                  <w:rFonts w:cs="Calibri"/>
                  <w:lang w:val="fr-FR"/>
                </w:rPr>
                <w:t>7</w:t>
              </w:r>
            </w:hyperlink>
            <w:r w:rsidR="00C65CB4" w:rsidRPr="00F9566B">
              <w:rPr>
                <w:rFonts w:cs="Calibri"/>
                <w:lang w:val="fr-FR"/>
              </w:rPr>
              <w:t xml:space="preserve"> s’applique par analogie en cas d’apport en nature </w:t>
            </w:r>
            <w:r w:rsidR="00C65CB4" w:rsidRPr="00F9566B">
              <w:rPr>
                <w:rFonts w:cs="Calibri"/>
                <w:lang w:val="fr-BE"/>
              </w:rPr>
              <w:t>à la constitution</w:t>
            </w:r>
            <w:r w:rsidR="00C65CB4" w:rsidRPr="00F9566B">
              <w:rPr>
                <w:rFonts w:cs="Calibri"/>
                <w:lang w:val="fr-FR"/>
              </w:rPr>
              <w:t>.</w:t>
            </w:r>
          </w:p>
          <w:p w14:paraId="1DB326F2" w14:textId="77777777" w:rsidR="00C65CB4" w:rsidRDefault="00C65CB4" w:rsidP="0046324F">
            <w:pPr>
              <w:spacing w:after="0" w:line="240" w:lineRule="auto"/>
              <w:jc w:val="both"/>
              <w:rPr>
                <w:rFonts w:cs="Calibri"/>
                <w:lang w:val="fr-FR"/>
              </w:rPr>
            </w:pPr>
          </w:p>
          <w:p w14:paraId="7CE9DEF0" w14:textId="0881C4E9" w:rsidR="00C65CB4" w:rsidRPr="001A14BC" w:rsidRDefault="001C04BE" w:rsidP="0046324F">
            <w:pPr>
              <w:spacing w:after="0" w:line="240" w:lineRule="auto"/>
              <w:jc w:val="both"/>
              <w:rPr>
                <w:rFonts w:cs="Calibri"/>
                <w:lang w:val="fr-FR"/>
              </w:rPr>
            </w:pPr>
            <w:hyperlink w:anchor="_Amendement_313_3" w:history="1">
              <w:r w:rsidR="00C65CB4" w:rsidRPr="001C04BE">
                <w:rPr>
                  <w:rStyle w:val="Hyperlink"/>
                  <w:rFonts w:cs="Calibri"/>
                  <w:lang w:val="fr-FR"/>
                </w:rPr>
                <w:t xml:space="preserve">L’article </w:t>
              </w:r>
              <w:proofErr w:type="gramStart"/>
              <w:r w:rsidR="00C65CB4" w:rsidRPr="001C04BE">
                <w:rPr>
                  <w:rStyle w:val="Hyperlink"/>
                  <w:rFonts w:cs="Calibri"/>
                  <w:lang w:val="fr-FR"/>
                </w:rPr>
                <w:t>7:</w:t>
              </w:r>
              <w:proofErr w:type="gramEnd"/>
              <w:r w:rsidR="00C65CB4" w:rsidRPr="001C04BE">
                <w:rPr>
                  <w:rStyle w:val="Hyperlink"/>
                  <w:rFonts w:cs="Calibri"/>
                  <w:lang w:val="fr-FR"/>
                </w:rPr>
                <w:t>197</w:t>
              </w:r>
            </w:hyperlink>
            <w:bookmarkStart w:id="0" w:name="_GoBack"/>
            <w:bookmarkEnd w:id="0"/>
            <w:r w:rsidR="00C65CB4" w:rsidRPr="00F9566B">
              <w:rPr>
                <w:rFonts w:cs="Calibri"/>
                <w:lang w:val="fr-FR"/>
              </w:rPr>
              <w:t xml:space="preserve"> s’applique par analogie </w:t>
            </w:r>
            <w:r w:rsidR="00C65CB4" w:rsidRPr="00F9566B">
              <w:rPr>
                <w:rFonts w:cs="Calibri"/>
                <w:lang w:val="fr-BE"/>
              </w:rPr>
              <w:t xml:space="preserve">en cas d’apport en nature lors d’une </w:t>
            </w:r>
            <w:r w:rsidR="00C65CB4" w:rsidRPr="00F9566B">
              <w:rPr>
                <w:rFonts w:cs="Calibri"/>
                <w:lang w:val="fr-FR"/>
              </w:rPr>
              <w:t>augmentation de capital</w:t>
            </w:r>
            <w:r w:rsidR="00C65CB4">
              <w:rPr>
                <w:rFonts w:cs="Calibri"/>
                <w:lang w:val="fr-FR"/>
              </w:rPr>
              <w:t>.</w:t>
            </w:r>
          </w:p>
        </w:tc>
      </w:tr>
      <w:tr w:rsidR="00D17E78" w:rsidRPr="00D17E78" w14:paraId="303891E2" w14:textId="77777777" w:rsidTr="00D17E78">
        <w:trPr>
          <w:trHeight w:val="367"/>
        </w:trPr>
        <w:tc>
          <w:tcPr>
            <w:tcW w:w="2263" w:type="dxa"/>
          </w:tcPr>
          <w:p w14:paraId="1D82692F" w14:textId="77777777" w:rsidR="00D17E78" w:rsidRPr="00C824ED" w:rsidRDefault="00D17E78" w:rsidP="00E9206C">
            <w:pPr>
              <w:spacing w:after="0" w:line="240" w:lineRule="auto"/>
              <w:jc w:val="both"/>
            </w:pPr>
            <w:proofErr w:type="spellStart"/>
            <w:r w:rsidRPr="00C824ED">
              <w:t>Ontwerp</w:t>
            </w:r>
            <w:proofErr w:type="spellEnd"/>
          </w:p>
        </w:tc>
        <w:tc>
          <w:tcPr>
            <w:tcW w:w="5906" w:type="dxa"/>
            <w:shd w:val="clear" w:color="auto" w:fill="auto"/>
          </w:tcPr>
          <w:p w14:paraId="2F09EB92" w14:textId="77777777" w:rsidR="00D17E78" w:rsidRPr="00C824ED" w:rsidRDefault="00D17E78" w:rsidP="00E9206C">
            <w:pPr>
              <w:spacing w:after="0" w:line="240" w:lineRule="auto"/>
              <w:jc w:val="both"/>
            </w:pPr>
            <w:proofErr w:type="spellStart"/>
            <w:r w:rsidRPr="00C824ED">
              <w:t>Geen</w:t>
            </w:r>
            <w:proofErr w:type="spellEnd"/>
            <w:r w:rsidRPr="00C824ED">
              <w:t xml:space="preserve"> </w:t>
            </w:r>
            <w:proofErr w:type="spellStart"/>
            <w:r w:rsidRPr="00C824ED">
              <w:t>artikel</w:t>
            </w:r>
            <w:proofErr w:type="spellEnd"/>
            <w:r>
              <w:t>.</w:t>
            </w:r>
          </w:p>
        </w:tc>
        <w:tc>
          <w:tcPr>
            <w:tcW w:w="5812" w:type="dxa"/>
            <w:gridSpan w:val="2"/>
            <w:shd w:val="clear" w:color="auto" w:fill="auto"/>
          </w:tcPr>
          <w:p w14:paraId="2A9EFC0F" w14:textId="77777777" w:rsidR="00D17E78" w:rsidRDefault="00D17E78" w:rsidP="00E9206C">
            <w:pPr>
              <w:spacing w:after="0" w:line="240" w:lineRule="auto"/>
              <w:jc w:val="both"/>
            </w:pPr>
            <w:r w:rsidRPr="00C824ED">
              <w:t xml:space="preserve">Pas </w:t>
            </w:r>
            <w:proofErr w:type="spellStart"/>
            <w:r w:rsidRPr="00C824ED">
              <w:t>d’article</w:t>
            </w:r>
            <w:proofErr w:type="spellEnd"/>
            <w:r>
              <w:t>.</w:t>
            </w:r>
          </w:p>
        </w:tc>
      </w:tr>
      <w:tr w:rsidR="00D17E78" w:rsidRPr="00C80A66" w14:paraId="529A218B" w14:textId="77777777" w:rsidTr="00794FA0">
        <w:trPr>
          <w:trHeight w:val="456"/>
        </w:trPr>
        <w:tc>
          <w:tcPr>
            <w:tcW w:w="2263" w:type="dxa"/>
          </w:tcPr>
          <w:p w14:paraId="05415B0E" w14:textId="77777777" w:rsidR="00D17E78" w:rsidRPr="00C80A66" w:rsidRDefault="00D17E78" w:rsidP="0046324F">
            <w:pPr>
              <w:spacing w:after="0" w:line="240" w:lineRule="auto"/>
              <w:jc w:val="both"/>
              <w:rPr>
                <w:rFonts w:cs="Calibri"/>
                <w:lang w:val="fr-FR"/>
              </w:rPr>
            </w:pPr>
            <w:proofErr w:type="spellStart"/>
            <w:r>
              <w:rPr>
                <w:rFonts w:cs="Calibri"/>
                <w:lang w:val="fr-FR"/>
              </w:rPr>
              <w:t>Voorontwerp</w:t>
            </w:r>
            <w:proofErr w:type="spellEnd"/>
          </w:p>
        </w:tc>
        <w:tc>
          <w:tcPr>
            <w:tcW w:w="5906" w:type="dxa"/>
            <w:shd w:val="clear" w:color="auto" w:fill="auto"/>
          </w:tcPr>
          <w:p w14:paraId="374ED44B" w14:textId="77777777" w:rsidR="00D17E78" w:rsidRPr="00C80A66" w:rsidRDefault="00D17E78" w:rsidP="0046324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66332187" w14:textId="77777777" w:rsidR="00D17E78" w:rsidRPr="00F9566B" w:rsidRDefault="00D17E78" w:rsidP="0046324F">
            <w:pPr>
              <w:spacing w:after="0" w:line="240" w:lineRule="auto"/>
              <w:jc w:val="both"/>
              <w:rPr>
                <w:rFonts w:cs="Calibri"/>
                <w:lang w:val="fr-FR"/>
              </w:rPr>
            </w:pPr>
            <w:r>
              <w:rPr>
                <w:rFonts w:cs="Calibri"/>
                <w:lang w:val="fr-FR"/>
              </w:rPr>
              <w:t>Pas d’article.</w:t>
            </w:r>
          </w:p>
        </w:tc>
      </w:tr>
      <w:tr w:rsidR="00D17E78" w:rsidRPr="00794FA0" w14:paraId="53E46A11" w14:textId="77777777" w:rsidTr="00794FA0">
        <w:trPr>
          <w:trHeight w:val="416"/>
        </w:trPr>
        <w:tc>
          <w:tcPr>
            <w:tcW w:w="2263" w:type="dxa"/>
          </w:tcPr>
          <w:p w14:paraId="7E05A1BE" w14:textId="77777777" w:rsidR="00D17E78" w:rsidRPr="00C824ED" w:rsidRDefault="00D17E78" w:rsidP="0046324F">
            <w:pPr>
              <w:spacing w:after="0" w:line="240" w:lineRule="auto"/>
              <w:jc w:val="both"/>
            </w:pPr>
            <w:proofErr w:type="spellStart"/>
            <w:r>
              <w:t>MvT</w:t>
            </w:r>
            <w:proofErr w:type="spellEnd"/>
          </w:p>
        </w:tc>
        <w:tc>
          <w:tcPr>
            <w:tcW w:w="5906" w:type="dxa"/>
            <w:shd w:val="clear" w:color="auto" w:fill="auto"/>
          </w:tcPr>
          <w:p w14:paraId="391AE478" w14:textId="77777777" w:rsidR="00D17E78" w:rsidRPr="00886246" w:rsidRDefault="00D17E78" w:rsidP="0046324F">
            <w:pPr>
              <w:spacing w:after="0" w:line="240" w:lineRule="auto"/>
              <w:jc w:val="both"/>
              <w:rPr>
                <w:lang w:val="nl-BE"/>
              </w:rPr>
            </w:pPr>
            <w:r w:rsidRPr="00886246">
              <w:rPr>
                <w:lang w:val="nl-BE"/>
              </w:rPr>
              <w:t>Nu de CV niet langer een kapitaal heeft, wordt voor de bij artikel 4, lid 6, voorgeschreven controle op de inbreng in natura in een SCE die wel een kapitaalregime heeft, verwezen naar de regels van toepassing op de NV. De regels inzake quasi-inbreng, niet verplicht in ee</w:t>
            </w:r>
            <w:r>
              <w:rPr>
                <w:lang w:val="nl-BE"/>
              </w:rPr>
              <w:t>n SCE, werden niet overgenomen.</w:t>
            </w:r>
          </w:p>
        </w:tc>
        <w:tc>
          <w:tcPr>
            <w:tcW w:w="5812" w:type="dxa"/>
            <w:gridSpan w:val="2"/>
            <w:shd w:val="clear" w:color="auto" w:fill="auto"/>
          </w:tcPr>
          <w:p w14:paraId="57BB9F8B" w14:textId="77777777" w:rsidR="00D17E78" w:rsidRPr="00886246" w:rsidRDefault="00D17E78" w:rsidP="0046324F">
            <w:pPr>
              <w:spacing w:after="0" w:line="240" w:lineRule="auto"/>
              <w:jc w:val="both"/>
              <w:rPr>
                <w:lang w:val="fr-FR"/>
              </w:rPr>
            </w:pPr>
            <w:r w:rsidRPr="00886246">
              <w:rPr>
                <w:lang w:val="fr-FR"/>
              </w:rPr>
              <w:t>Comme la SC n’a plus de capital, il est renvoyé aux règles applicables à la SA pour le contrôle, prescrit par l’article 4, alinéa 6, de l’apport en nature dans une SCE qui dispose toutefois d’un régime de capital. Les règles en matière de quasi-apport, non obligatoire dans u</w:t>
            </w:r>
            <w:r>
              <w:rPr>
                <w:lang w:val="fr-FR"/>
              </w:rPr>
              <w:t>ne SCE, n’ont pas été reprises.</w:t>
            </w:r>
          </w:p>
        </w:tc>
      </w:tr>
      <w:tr w:rsidR="00D17E78" w:rsidRPr="00886246" w14:paraId="6A3CD51D" w14:textId="77777777" w:rsidTr="00794FA0">
        <w:trPr>
          <w:trHeight w:val="416"/>
        </w:trPr>
        <w:tc>
          <w:tcPr>
            <w:tcW w:w="2263" w:type="dxa"/>
          </w:tcPr>
          <w:p w14:paraId="7CC5EE75" w14:textId="77777777" w:rsidR="00D17E78" w:rsidRDefault="00D17E78" w:rsidP="0046324F">
            <w:pPr>
              <w:spacing w:after="0" w:line="240" w:lineRule="auto"/>
              <w:jc w:val="both"/>
            </w:pPr>
            <w:proofErr w:type="spellStart"/>
            <w:r>
              <w:t>RvSt</w:t>
            </w:r>
            <w:proofErr w:type="spellEnd"/>
          </w:p>
        </w:tc>
        <w:tc>
          <w:tcPr>
            <w:tcW w:w="5906" w:type="dxa"/>
            <w:shd w:val="clear" w:color="auto" w:fill="auto"/>
          </w:tcPr>
          <w:p w14:paraId="5059E801" w14:textId="77777777" w:rsidR="00D17E78" w:rsidRPr="00886246" w:rsidRDefault="00D17E78" w:rsidP="0046324F">
            <w:pPr>
              <w:spacing w:after="0" w:line="240" w:lineRule="auto"/>
              <w:jc w:val="both"/>
              <w:rPr>
                <w:lang w:val="nl-BE"/>
              </w:rPr>
            </w:pPr>
            <w:r>
              <w:rPr>
                <w:lang w:val="nl-BE"/>
              </w:rPr>
              <w:t>Geen opmerkingen.</w:t>
            </w:r>
          </w:p>
        </w:tc>
        <w:tc>
          <w:tcPr>
            <w:tcW w:w="5812" w:type="dxa"/>
            <w:gridSpan w:val="2"/>
            <w:shd w:val="clear" w:color="auto" w:fill="auto"/>
          </w:tcPr>
          <w:p w14:paraId="24263E9D" w14:textId="77777777" w:rsidR="00D17E78" w:rsidRPr="00886246" w:rsidRDefault="00D17E78" w:rsidP="0046324F">
            <w:pPr>
              <w:spacing w:after="0" w:line="240" w:lineRule="auto"/>
              <w:jc w:val="both"/>
              <w:rPr>
                <w:lang w:val="fr-FR"/>
              </w:rPr>
            </w:pPr>
            <w:r>
              <w:rPr>
                <w:lang w:val="fr-FR"/>
              </w:rPr>
              <w:t>Pas de remarques.</w:t>
            </w:r>
          </w:p>
        </w:tc>
      </w:tr>
      <w:tr w:rsidR="00D17E78" w:rsidRPr="00794FA0" w14:paraId="77043936" w14:textId="77777777" w:rsidTr="00794FA0">
        <w:trPr>
          <w:trHeight w:val="416"/>
        </w:trPr>
        <w:tc>
          <w:tcPr>
            <w:tcW w:w="2263" w:type="dxa"/>
          </w:tcPr>
          <w:p w14:paraId="3AC8AFB3" w14:textId="77777777" w:rsidR="00D17E78" w:rsidRDefault="00D17E78" w:rsidP="0046324F">
            <w:pPr>
              <w:spacing w:after="0" w:line="240" w:lineRule="auto"/>
              <w:jc w:val="both"/>
            </w:pPr>
            <w:proofErr w:type="spellStart"/>
            <w:r>
              <w:t>RvSt</w:t>
            </w:r>
            <w:proofErr w:type="spellEnd"/>
          </w:p>
        </w:tc>
        <w:tc>
          <w:tcPr>
            <w:tcW w:w="5906" w:type="dxa"/>
            <w:shd w:val="clear" w:color="auto" w:fill="auto"/>
          </w:tcPr>
          <w:p w14:paraId="40092AA9" w14:textId="77777777" w:rsidR="00D17E78" w:rsidRPr="0068761E" w:rsidRDefault="00D17E78" w:rsidP="0046324F">
            <w:pPr>
              <w:spacing w:after="0" w:line="240" w:lineRule="auto"/>
              <w:jc w:val="both"/>
              <w:rPr>
                <w:lang w:val="nl-BE"/>
              </w:rPr>
            </w:pPr>
            <w:r w:rsidRPr="0068761E">
              <w:rPr>
                <w:lang w:val="nl-BE"/>
              </w:rPr>
              <w:t>1. In het eerste lid is de verwijzing naar het ontworpen artikel 7:183, dat betrekking heeft op de regels inzake de volstorting van inbrengen in natura, in strijd met artikel 4, lid 5, van verordening (EG) nr. 1435/2003, dat op dat punt evenwel niet aangevuld hoeft te worden door de nationale wetgeving.</w:t>
            </w:r>
          </w:p>
          <w:p w14:paraId="3AB67DEC" w14:textId="77777777" w:rsidR="00D17E78" w:rsidRPr="0068761E" w:rsidRDefault="00D17E78" w:rsidP="0046324F">
            <w:pPr>
              <w:spacing w:after="0" w:line="240" w:lineRule="auto"/>
              <w:jc w:val="both"/>
              <w:rPr>
                <w:lang w:val="nl-BE"/>
              </w:rPr>
            </w:pPr>
            <w:r w:rsidRPr="0068761E">
              <w:rPr>
                <w:lang w:val="nl-BE"/>
              </w:rPr>
              <w:t>Die verwijzing moet bijgevolg worden geschrapt.</w:t>
            </w:r>
          </w:p>
          <w:p w14:paraId="06098920" w14:textId="77777777" w:rsidR="00D17E78" w:rsidRDefault="00D17E78" w:rsidP="0046324F">
            <w:pPr>
              <w:spacing w:after="0" w:line="240" w:lineRule="auto"/>
              <w:jc w:val="both"/>
              <w:rPr>
                <w:lang w:val="nl-BE"/>
              </w:rPr>
            </w:pPr>
            <w:r w:rsidRPr="0068761E">
              <w:rPr>
                <w:lang w:val="nl-BE"/>
              </w:rPr>
              <w:t>2. De verwijzing in het tweede lid naar het ontworpen artikel 7:198 lijkt verkeerd en moet gecorrigeerd worden.</w:t>
            </w:r>
          </w:p>
        </w:tc>
        <w:tc>
          <w:tcPr>
            <w:tcW w:w="5812" w:type="dxa"/>
            <w:gridSpan w:val="2"/>
            <w:shd w:val="clear" w:color="auto" w:fill="auto"/>
          </w:tcPr>
          <w:p w14:paraId="36DE418E" w14:textId="77777777" w:rsidR="00D17E78" w:rsidRPr="0068761E" w:rsidRDefault="00D17E78" w:rsidP="0046324F">
            <w:pPr>
              <w:spacing w:after="0" w:line="240" w:lineRule="auto"/>
              <w:jc w:val="both"/>
              <w:rPr>
                <w:lang w:val="fr-FR"/>
              </w:rPr>
            </w:pPr>
            <w:r w:rsidRPr="0068761E">
              <w:rPr>
                <w:lang w:val="fr-FR"/>
              </w:rPr>
              <w:t xml:space="preserve">1. À l’alinéa 1er, la référence à l’article </w:t>
            </w:r>
            <w:proofErr w:type="gramStart"/>
            <w:r w:rsidRPr="0068761E">
              <w:rPr>
                <w:lang w:val="fr-FR"/>
              </w:rPr>
              <w:t>7:</w:t>
            </w:r>
            <w:proofErr w:type="gramEnd"/>
            <w:r w:rsidRPr="0068761E">
              <w:rPr>
                <w:lang w:val="fr-FR"/>
              </w:rPr>
              <w:t>183 en projet, qui concerne les règles de libération des apports en nature, est contraire à l’article 4, paragraphe 5, du règlement (CE) n° 1435/2003, lequel ne nécessite toutefois pas d’être complété par la législation nationale sur ce point.</w:t>
            </w:r>
          </w:p>
          <w:p w14:paraId="0785AF85" w14:textId="77777777" w:rsidR="00D17E78" w:rsidRPr="0068761E" w:rsidRDefault="00D17E78" w:rsidP="0046324F">
            <w:pPr>
              <w:spacing w:after="0" w:line="240" w:lineRule="auto"/>
              <w:jc w:val="both"/>
              <w:rPr>
                <w:lang w:val="fr-FR"/>
              </w:rPr>
            </w:pPr>
            <w:r w:rsidRPr="0068761E">
              <w:rPr>
                <w:lang w:val="fr-FR"/>
              </w:rPr>
              <w:t>Cette référence doit donc être omise.</w:t>
            </w:r>
          </w:p>
          <w:p w14:paraId="2EAB2702" w14:textId="77777777" w:rsidR="00D17E78" w:rsidRPr="0068761E" w:rsidRDefault="00D17E78" w:rsidP="0046324F">
            <w:pPr>
              <w:spacing w:after="0" w:line="240" w:lineRule="auto"/>
              <w:jc w:val="both"/>
              <w:rPr>
                <w:lang w:val="fr-FR"/>
              </w:rPr>
            </w:pPr>
            <w:r w:rsidRPr="0068761E">
              <w:rPr>
                <w:lang w:val="fr-FR"/>
              </w:rPr>
              <w:t xml:space="preserve">2. À l’alinéa 2, la référence à l’article </w:t>
            </w:r>
            <w:proofErr w:type="gramStart"/>
            <w:r w:rsidRPr="0068761E">
              <w:rPr>
                <w:lang w:val="fr-FR"/>
              </w:rPr>
              <w:t>7:</w:t>
            </w:r>
            <w:proofErr w:type="gramEnd"/>
            <w:r w:rsidRPr="0068761E">
              <w:rPr>
                <w:lang w:val="fr-FR"/>
              </w:rPr>
              <w:t>198 en projet p</w:t>
            </w:r>
            <w:r>
              <w:rPr>
                <w:lang w:val="fr-FR"/>
              </w:rPr>
              <w:t>araît erronée et sera corrigée.</w:t>
            </w:r>
          </w:p>
        </w:tc>
      </w:tr>
      <w:tr w:rsidR="00D17E78" w:rsidRPr="00794FA0" w14:paraId="417E0671" w14:textId="77777777" w:rsidTr="00794FA0">
        <w:trPr>
          <w:trHeight w:val="416"/>
        </w:trPr>
        <w:tc>
          <w:tcPr>
            <w:tcW w:w="2263" w:type="dxa"/>
          </w:tcPr>
          <w:p w14:paraId="7813C360" w14:textId="77777777" w:rsidR="00D17E78" w:rsidRPr="00D17E78" w:rsidRDefault="00D17E78" w:rsidP="00D17E78">
            <w:pPr>
              <w:pStyle w:val="Kop1"/>
              <w:rPr>
                <w:lang w:val="fr-FR"/>
              </w:rPr>
            </w:pPr>
            <w:bookmarkStart w:id="1" w:name="_Amendement_313"/>
            <w:bookmarkStart w:id="2" w:name="_Amendement_313_1"/>
            <w:bookmarkStart w:id="3" w:name="_Amendement_313_2"/>
            <w:bookmarkStart w:id="4" w:name="_Amendement_313_3"/>
            <w:bookmarkEnd w:id="1"/>
            <w:bookmarkEnd w:id="2"/>
            <w:bookmarkEnd w:id="3"/>
            <w:bookmarkEnd w:id="4"/>
            <w:r w:rsidRPr="00D17E78">
              <w:rPr>
                <w:lang w:val="fr-FR"/>
              </w:rPr>
              <w:lastRenderedPageBreak/>
              <w:t>Amendement 313</w:t>
            </w:r>
          </w:p>
        </w:tc>
        <w:tc>
          <w:tcPr>
            <w:tcW w:w="5906" w:type="dxa"/>
            <w:shd w:val="clear" w:color="auto" w:fill="auto"/>
          </w:tcPr>
          <w:p w14:paraId="293B3655" w14:textId="77777777" w:rsidR="00D17E78" w:rsidRPr="00D17E78" w:rsidRDefault="00D17E78" w:rsidP="0046324F">
            <w:pPr>
              <w:autoSpaceDE w:val="0"/>
              <w:autoSpaceDN w:val="0"/>
              <w:adjustRightInd w:val="0"/>
              <w:spacing w:after="0" w:line="240" w:lineRule="auto"/>
              <w:jc w:val="both"/>
              <w:rPr>
                <w:rFonts w:cstheme="minorHAnsi"/>
                <w:bCs/>
                <w:lang w:val="nl-BE"/>
              </w:rPr>
            </w:pPr>
            <w:r w:rsidRPr="00D17E78">
              <w:rPr>
                <w:rFonts w:cstheme="minorHAnsi"/>
                <w:bCs/>
                <w:lang w:val="nl-BE"/>
              </w:rPr>
              <w:t>In het voorgestelde artikel 16:23, de volgende wijzigingen aanbrengen:</w:t>
            </w:r>
          </w:p>
          <w:p w14:paraId="5FA0297A" w14:textId="77777777" w:rsidR="00D17E78" w:rsidRPr="00D17E78" w:rsidRDefault="00D17E78" w:rsidP="0046324F">
            <w:pPr>
              <w:autoSpaceDE w:val="0"/>
              <w:autoSpaceDN w:val="0"/>
              <w:adjustRightInd w:val="0"/>
              <w:spacing w:after="0" w:line="240" w:lineRule="auto"/>
              <w:jc w:val="both"/>
              <w:rPr>
                <w:rFonts w:cstheme="minorHAnsi"/>
                <w:bCs/>
                <w:lang w:val="nl-BE"/>
              </w:rPr>
            </w:pPr>
          </w:p>
          <w:p w14:paraId="1E641BEB" w14:textId="77777777" w:rsidR="00D17E78" w:rsidRPr="00D17E78" w:rsidRDefault="00D17E78" w:rsidP="0046324F">
            <w:pPr>
              <w:autoSpaceDE w:val="0"/>
              <w:autoSpaceDN w:val="0"/>
              <w:adjustRightInd w:val="0"/>
              <w:spacing w:after="0" w:line="240" w:lineRule="auto"/>
              <w:jc w:val="both"/>
              <w:rPr>
                <w:rFonts w:cstheme="minorHAnsi"/>
                <w:bCs/>
                <w:lang w:val="nl-BE"/>
              </w:rPr>
            </w:pPr>
            <w:r w:rsidRPr="00D17E78">
              <w:rPr>
                <w:rFonts w:cstheme="minorHAnsi"/>
                <w:bCs/>
                <w:lang w:val="nl-BE"/>
              </w:rPr>
              <w:t xml:space="preserve">1° in het eerste lid, de woorden </w:t>
            </w:r>
            <w:r w:rsidRPr="00D17E78">
              <w:rPr>
                <w:rFonts w:cstheme="minorHAnsi"/>
                <w:lang w:val="nl-BE"/>
              </w:rPr>
              <w:t xml:space="preserve">“De artikelen 7:7 en 7:183 zijn” </w:t>
            </w:r>
            <w:r w:rsidRPr="00D17E78">
              <w:rPr>
                <w:rFonts w:cstheme="minorHAnsi"/>
                <w:bCs/>
                <w:lang w:val="nl-BE"/>
              </w:rPr>
              <w:t xml:space="preserve">vervangen door de woorden </w:t>
            </w:r>
            <w:r w:rsidRPr="00D17E78">
              <w:rPr>
                <w:rFonts w:cstheme="minorHAnsi"/>
                <w:iCs/>
                <w:lang w:val="nl-BE"/>
              </w:rPr>
              <w:t>“Het artikel 7:7 is”</w:t>
            </w:r>
            <w:r w:rsidRPr="00D17E78">
              <w:rPr>
                <w:rFonts w:cstheme="minorHAnsi"/>
                <w:bCs/>
                <w:lang w:val="nl-BE"/>
              </w:rPr>
              <w:t>;</w:t>
            </w:r>
          </w:p>
          <w:p w14:paraId="018FBDBF" w14:textId="77777777" w:rsidR="00D17E78" w:rsidRPr="00D17E78" w:rsidRDefault="00D17E78" w:rsidP="0046324F">
            <w:pPr>
              <w:autoSpaceDE w:val="0"/>
              <w:autoSpaceDN w:val="0"/>
              <w:adjustRightInd w:val="0"/>
              <w:spacing w:after="0" w:line="240" w:lineRule="auto"/>
              <w:jc w:val="both"/>
              <w:rPr>
                <w:rFonts w:cstheme="minorHAnsi"/>
                <w:bCs/>
                <w:lang w:val="nl-BE"/>
              </w:rPr>
            </w:pPr>
          </w:p>
          <w:p w14:paraId="026F04C8" w14:textId="77777777" w:rsidR="00D17E78" w:rsidRPr="00D17E78" w:rsidRDefault="00D17E78" w:rsidP="0046324F">
            <w:pPr>
              <w:autoSpaceDE w:val="0"/>
              <w:autoSpaceDN w:val="0"/>
              <w:adjustRightInd w:val="0"/>
              <w:spacing w:after="0" w:line="240" w:lineRule="auto"/>
              <w:jc w:val="both"/>
              <w:rPr>
                <w:rFonts w:cstheme="minorHAnsi"/>
                <w:bCs/>
                <w:lang w:val="nl-BE"/>
              </w:rPr>
            </w:pPr>
            <w:r w:rsidRPr="00D17E78">
              <w:rPr>
                <w:rFonts w:cstheme="minorHAnsi"/>
                <w:bCs/>
                <w:lang w:val="nl-BE"/>
              </w:rPr>
              <w:t xml:space="preserve">2° in het tweede lid, de woorden </w:t>
            </w:r>
            <w:r w:rsidRPr="00D17E78">
              <w:rPr>
                <w:rFonts w:cstheme="minorHAnsi"/>
                <w:lang w:val="nl-BE"/>
              </w:rPr>
              <w:t xml:space="preserve">“Artikel 7:198” </w:t>
            </w:r>
            <w:r w:rsidRPr="00D17E78">
              <w:rPr>
                <w:rFonts w:cstheme="minorHAnsi"/>
                <w:bCs/>
                <w:lang w:val="nl-BE"/>
              </w:rPr>
              <w:t xml:space="preserve">vervangen door de woorden </w:t>
            </w:r>
            <w:r w:rsidRPr="00D17E78">
              <w:rPr>
                <w:rFonts w:cstheme="minorHAnsi"/>
                <w:iCs/>
                <w:lang w:val="nl-BE"/>
              </w:rPr>
              <w:t>“Artikel 7:197”</w:t>
            </w:r>
            <w:r w:rsidRPr="00D17E78">
              <w:rPr>
                <w:rFonts w:cstheme="minorHAnsi"/>
                <w:bCs/>
                <w:lang w:val="nl-BE"/>
              </w:rPr>
              <w:t>.</w:t>
            </w:r>
          </w:p>
          <w:p w14:paraId="78172F91" w14:textId="77777777" w:rsidR="00D17E78" w:rsidRPr="00D17E78" w:rsidRDefault="00D17E78" w:rsidP="0046324F">
            <w:pPr>
              <w:autoSpaceDE w:val="0"/>
              <w:autoSpaceDN w:val="0"/>
              <w:adjustRightInd w:val="0"/>
              <w:spacing w:after="0" w:line="240" w:lineRule="auto"/>
              <w:jc w:val="both"/>
              <w:rPr>
                <w:rFonts w:cstheme="minorHAnsi"/>
                <w:bCs/>
                <w:lang w:val="nl-BE"/>
              </w:rPr>
            </w:pPr>
          </w:p>
          <w:p w14:paraId="2C88BAE2" w14:textId="77777777" w:rsidR="00D17E78" w:rsidRPr="00D17E78" w:rsidRDefault="00D17E78" w:rsidP="0046324F">
            <w:pPr>
              <w:autoSpaceDE w:val="0"/>
              <w:autoSpaceDN w:val="0"/>
              <w:adjustRightInd w:val="0"/>
              <w:spacing w:after="0" w:line="240" w:lineRule="auto"/>
              <w:jc w:val="both"/>
              <w:rPr>
                <w:rFonts w:cstheme="minorHAnsi"/>
                <w:lang w:val="nl-BE"/>
              </w:rPr>
            </w:pPr>
            <w:r w:rsidRPr="00D17E78">
              <w:rPr>
                <w:rFonts w:cstheme="minorHAnsi"/>
                <w:lang w:val="nl-BE"/>
              </w:rPr>
              <w:t>VERANTWOORDING</w:t>
            </w:r>
          </w:p>
          <w:p w14:paraId="14763C4E" w14:textId="77777777" w:rsidR="00D17E78" w:rsidRPr="00D17E78" w:rsidRDefault="00D17E78" w:rsidP="0046324F">
            <w:pPr>
              <w:autoSpaceDE w:val="0"/>
              <w:autoSpaceDN w:val="0"/>
              <w:adjustRightInd w:val="0"/>
              <w:spacing w:after="0" w:line="240" w:lineRule="auto"/>
              <w:jc w:val="both"/>
              <w:rPr>
                <w:rFonts w:cstheme="minorHAnsi"/>
                <w:lang w:val="nl-BE"/>
              </w:rPr>
            </w:pPr>
          </w:p>
          <w:p w14:paraId="16F44BC3" w14:textId="77777777" w:rsidR="00D17E78" w:rsidRPr="00D17E78" w:rsidRDefault="00D17E78" w:rsidP="0046324F">
            <w:pPr>
              <w:spacing w:after="0" w:line="240" w:lineRule="auto"/>
              <w:jc w:val="both"/>
              <w:rPr>
                <w:rFonts w:cstheme="minorHAnsi"/>
                <w:lang w:val="nl-BE"/>
              </w:rPr>
            </w:pPr>
            <w:r w:rsidRPr="00D17E78">
              <w:rPr>
                <w:rFonts w:cstheme="minorHAnsi"/>
                <w:lang w:val="nl-BE"/>
              </w:rPr>
              <w:t>Dit amendement corrigeert materiële vergissingen.</w:t>
            </w:r>
          </w:p>
        </w:tc>
        <w:tc>
          <w:tcPr>
            <w:tcW w:w="5812" w:type="dxa"/>
            <w:gridSpan w:val="2"/>
            <w:shd w:val="clear" w:color="auto" w:fill="auto"/>
          </w:tcPr>
          <w:p w14:paraId="350B3FFF" w14:textId="77777777" w:rsidR="00D17E78" w:rsidRPr="00D17E78" w:rsidRDefault="00D17E78" w:rsidP="0046324F">
            <w:pPr>
              <w:autoSpaceDE w:val="0"/>
              <w:autoSpaceDN w:val="0"/>
              <w:adjustRightInd w:val="0"/>
              <w:spacing w:after="0" w:line="240" w:lineRule="auto"/>
              <w:jc w:val="both"/>
              <w:rPr>
                <w:rFonts w:cstheme="minorHAnsi"/>
                <w:bCs/>
                <w:lang w:val="fr-FR"/>
              </w:rPr>
            </w:pPr>
            <w:r w:rsidRPr="00D17E78">
              <w:rPr>
                <w:rFonts w:cstheme="minorHAnsi"/>
                <w:bCs/>
                <w:lang w:val="fr-FR"/>
              </w:rPr>
              <w:t xml:space="preserve">Dans l’article </w:t>
            </w:r>
            <w:proofErr w:type="gramStart"/>
            <w:r w:rsidRPr="00D17E78">
              <w:rPr>
                <w:rFonts w:cstheme="minorHAnsi"/>
                <w:bCs/>
                <w:lang w:val="fr-FR"/>
              </w:rPr>
              <w:t>16:</w:t>
            </w:r>
            <w:proofErr w:type="gramEnd"/>
            <w:r w:rsidRPr="00D17E78">
              <w:rPr>
                <w:rFonts w:cstheme="minorHAnsi"/>
                <w:bCs/>
                <w:lang w:val="fr-FR"/>
              </w:rPr>
              <w:t>23, proposé, apporter les modifications suivantes:</w:t>
            </w:r>
          </w:p>
          <w:p w14:paraId="0BA2F068" w14:textId="77777777" w:rsidR="00D17E78" w:rsidRPr="00D17E78" w:rsidRDefault="00D17E78" w:rsidP="0046324F">
            <w:pPr>
              <w:autoSpaceDE w:val="0"/>
              <w:autoSpaceDN w:val="0"/>
              <w:adjustRightInd w:val="0"/>
              <w:spacing w:after="0" w:line="240" w:lineRule="auto"/>
              <w:jc w:val="both"/>
              <w:rPr>
                <w:rFonts w:cstheme="minorHAnsi"/>
                <w:bCs/>
                <w:lang w:val="fr-FR"/>
              </w:rPr>
            </w:pPr>
          </w:p>
          <w:p w14:paraId="04ED864C" w14:textId="77777777" w:rsidR="00D17E78" w:rsidRPr="00D17E78" w:rsidRDefault="00D17E78" w:rsidP="0046324F">
            <w:pPr>
              <w:autoSpaceDE w:val="0"/>
              <w:autoSpaceDN w:val="0"/>
              <w:adjustRightInd w:val="0"/>
              <w:spacing w:after="0" w:line="240" w:lineRule="auto"/>
              <w:jc w:val="both"/>
              <w:rPr>
                <w:rFonts w:cstheme="minorHAnsi"/>
                <w:bCs/>
                <w:lang w:val="fr-FR"/>
              </w:rPr>
            </w:pPr>
            <w:r w:rsidRPr="00D17E78">
              <w:rPr>
                <w:rFonts w:cstheme="minorHAnsi"/>
                <w:bCs/>
                <w:lang w:val="fr-FR"/>
              </w:rPr>
              <w:t xml:space="preserve">1° à l’alinéa 1er, remplacer les mots </w:t>
            </w:r>
            <w:r w:rsidRPr="00D17E78">
              <w:rPr>
                <w:rFonts w:cstheme="minorHAnsi"/>
                <w:lang w:val="fr-FR"/>
              </w:rPr>
              <w:t xml:space="preserve">“Les articles </w:t>
            </w:r>
            <w:proofErr w:type="gramStart"/>
            <w:r w:rsidRPr="00D17E78">
              <w:rPr>
                <w:rFonts w:cstheme="minorHAnsi"/>
                <w:lang w:val="fr-FR"/>
              </w:rPr>
              <w:t>7:</w:t>
            </w:r>
            <w:proofErr w:type="gramEnd"/>
            <w:r w:rsidRPr="00D17E78">
              <w:rPr>
                <w:rFonts w:cstheme="minorHAnsi"/>
                <w:lang w:val="fr-FR"/>
              </w:rPr>
              <w:t xml:space="preserve">7 et 7:183 s’appliquent” </w:t>
            </w:r>
            <w:r w:rsidRPr="00D17E78">
              <w:rPr>
                <w:rFonts w:cstheme="minorHAnsi"/>
                <w:bCs/>
                <w:lang w:val="fr-FR"/>
              </w:rPr>
              <w:t xml:space="preserve">par les mots </w:t>
            </w:r>
            <w:r w:rsidRPr="00D17E78">
              <w:rPr>
                <w:rFonts w:cstheme="minorHAnsi"/>
                <w:iCs/>
                <w:lang w:val="fr-FR"/>
              </w:rPr>
              <w:t>“L’article 7:7 s’applique”</w:t>
            </w:r>
            <w:r w:rsidRPr="00D17E78">
              <w:rPr>
                <w:rFonts w:cstheme="minorHAnsi"/>
                <w:bCs/>
                <w:lang w:val="fr-FR"/>
              </w:rPr>
              <w:t>;</w:t>
            </w:r>
          </w:p>
          <w:p w14:paraId="2745D426" w14:textId="77777777" w:rsidR="00D17E78" w:rsidRPr="00D17E78" w:rsidRDefault="00D17E78" w:rsidP="0046324F">
            <w:pPr>
              <w:autoSpaceDE w:val="0"/>
              <w:autoSpaceDN w:val="0"/>
              <w:adjustRightInd w:val="0"/>
              <w:spacing w:after="0" w:line="240" w:lineRule="auto"/>
              <w:jc w:val="both"/>
              <w:rPr>
                <w:rFonts w:cstheme="minorHAnsi"/>
                <w:bCs/>
                <w:lang w:val="fr-FR"/>
              </w:rPr>
            </w:pPr>
          </w:p>
          <w:p w14:paraId="3CE874AC" w14:textId="77777777" w:rsidR="00D17E78" w:rsidRPr="00D17E78" w:rsidRDefault="00D17E78" w:rsidP="0046324F">
            <w:pPr>
              <w:autoSpaceDE w:val="0"/>
              <w:autoSpaceDN w:val="0"/>
              <w:adjustRightInd w:val="0"/>
              <w:spacing w:after="0" w:line="240" w:lineRule="auto"/>
              <w:jc w:val="both"/>
              <w:rPr>
                <w:rFonts w:cstheme="minorHAnsi"/>
                <w:bCs/>
                <w:lang w:val="fr-FR"/>
              </w:rPr>
            </w:pPr>
            <w:r w:rsidRPr="00D17E78">
              <w:rPr>
                <w:rFonts w:cstheme="minorHAnsi"/>
                <w:bCs/>
                <w:lang w:val="fr-FR"/>
              </w:rPr>
              <w:t xml:space="preserve">2° à l’alinéa 2, remplacer les mots </w:t>
            </w:r>
            <w:r w:rsidRPr="00D17E78">
              <w:rPr>
                <w:rFonts w:cstheme="minorHAnsi"/>
                <w:lang w:val="fr-FR"/>
              </w:rPr>
              <w:t xml:space="preserve">“L’article </w:t>
            </w:r>
            <w:proofErr w:type="gramStart"/>
            <w:r w:rsidRPr="00D17E78">
              <w:rPr>
                <w:rFonts w:cstheme="minorHAnsi"/>
                <w:lang w:val="fr-FR"/>
              </w:rPr>
              <w:t>7:</w:t>
            </w:r>
            <w:proofErr w:type="gramEnd"/>
            <w:r w:rsidRPr="00D17E78">
              <w:rPr>
                <w:rFonts w:cstheme="minorHAnsi"/>
                <w:lang w:val="fr-FR"/>
              </w:rPr>
              <w:t xml:space="preserve">198” </w:t>
            </w:r>
            <w:r w:rsidRPr="00D17E78">
              <w:rPr>
                <w:rFonts w:cstheme="minorHAnsi"/>
                <w:bCs/>
                <w:lang w:val="fr-FR"/>
              </w:rPr>
              <w:t xml:space="preserve">par les mots </w:t>
            </w:r>
            <w:r w:rsidRPr="00D17E78">
              <w:rPr>
                <w:rFonts w:cstheme="minorHAnsi"/>
                <w:iCs/>
                <w:lang w:val="fr-FR"/>
              </w:rPr>
              <w:t>“L’article 7:197”</w:t>
            </w:r>
            <w:r w:rsidRPr="00D17E78">
              <w:rPr>
                <w:rFonts w:cstheme="minorHAnsi"/>
                <w:bCs/>
                <w:lang w:val="fr-FR"/>
              </w:rPr>
              <w:t>.</w:t>
            </w:r>
          </w:p>
          <w:p w14:paraId="3CD0AD2C" w14:textId="77777777" w:rsidR="00D17E78" w:rsidRPr="00D17E78" w:rsidRDefault="00D17E78" w:rsidP="0046324F">
            <w:pPr>
              <w:autoSpaceDE w:val="0"/>
              <w:autoSpaceDN w:val="0"/>
              <w:adjustRightInd w:val="0"/>
              <w:spacing w:after="0" w:line="240" w:lineRule="auto"/>
              <w:jc w:val="both"/>
              <w:rPr>
                <w:rFonts w:cstheme="minorHAnsi"/>
                <w:bCs/>
                <w:lang w:val="fr-FR"/>
              </w:rPr>
            </w:pPr>
          </w:p>
          <w:p w14:paraId="2C903DCA" w14:textId="77777777" w:rsidR="00D17E78" w:rsidRPr="00D17E78" w:rsidRDefault="00D17E78" w:rsidP="0046324F">
            <w:pPr>
              <w:autoSpaceDE w:val="0"/>
              <w:autoSpaceDN w:val="0"/>
              <w:adjustRightInd w:val="0"/>
              <w:spacing w:after="0" w:line="240" w:lineRule="auto"/>
              <w:jc w:val="both"/>
              <w:rPr>
                <w:rFonts w:cstheme="minorHAnsi"/>
                <w:lang w:val="fr-FR"/>
              </w:rPr>
            </w:pPr>
            <w:r w:rsidRPr="00D17E78">
              <w:rPr>
                <w:rFonts w:cstheme="minorHAnsi"/>
                <w:lang w:val="fr-FR"/>
              </w:rPr>
              <w:t>JUSTIFICATION</w:t>
            </w:r>
          </w:p>
          <w:p w14:paraId="349F28D4" w14:textId="77777777" w:rsidR="00D17E78" w:rsidRPr="00D17E78" w:rsidRDefault="00D17E78" w:rsidP="0046324F">
            <w:pPr>
              <w:autoSpaceDE w:val="0"/>
              <w:autoSpaceDN w:val="0"/>
              <w:adjustRightInd w:val="0"/>
              <w:spacing w:after="0" w:line="240" w:lineRule="auto"/>
              <w:jc w:val="both"/>
              <w:rPr>
                <w:rFonts w:cstheme="minorHAnsi"/>
                <w:lang w:val="fr-FR"/>
              </w:rPr>
            </w:pPr>
          </w:p>
          <w:p w14:paraId="58EE1A91" w14:textId="77777777" w:rsidR="00D17E78" w:rsidRPr="00D17E78" w:rsidRDefault="00D17E78" w:rsidP="0046324F">
            <w:pPr>
              <w:autoSpaceDE w:val="0"/>
              <w:autoSpaceDN w:val="0"/>
              <w:adjustRightInd w:val="0"/>
              <w:spacing w:after="0" w:line="240" w:lineRule="auto"/>
              <w:jc w:val="both"/>
              <w:rPr>
                <w:rFonts w:cstheme="minorHAnsi"/>
                <w:lang w:val="fr-FR"/>
              </w:rPr>
            </w:pPr>
            <w:r w:rsidRPr="00D17E78">
              <w:rPr>
                <w:rFonts w:cstheme="minorHAnsi"/>
                <w:lang w:val="fr-FR"/>
              </w:rPr>
              <w:t>Cet amendement a pour objet de corriger des erreurs matérielles.</w:t>
            </w:r>
          </w:p>
        </w:tc>
      </w:tr>
    </w:tbl>
    <w:p w14:paraId="1AC9E7C2" w14:textId="77777777" w:rsidR="001203BA" w:rsidRPr="001A14BC" w:rsidRDefault="001203BA" w:rsidP="001203BA">
      <w:pPr>
        <w:rPr>
          <w:lang w:val="fr-FR"/>
        </w:rPr>
      </w:pPr>
    </w:p>
    <w:p w14:paraId="4ECCB4A0" w14:textId="77777777" w:rsidR="00A820D7" w:rsidRPr="001A14BC" w:rsidRDefault="00A820D7">
      <w:pPr>
        <w:rPr>
          <w:lang w:val="fr-FR"/>
        </w:rPr>
      </w:pPr>
    </w:p>
    <w:sectPr w:rsidR="00A820D7" w:rsidRPr="001A14B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743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14BC"/>
    <w:rsid w:val="001A5398"/>
    <w:rsid w:val="001B29CB"/>
    <w:rsid w:val="001C04BE"/>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24F"/>
    <w:rsid w:val="004637CE"/>
    <w:rsid w:val="0047203B"/>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6C06"/>
    <w:rsid w:val="0068761E"/>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94FA0"/>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6246"/>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872AE"/>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2F6F"/>
    <w:rsid w:val="00C65CB4"/>
    <w:rsid w:val="00C72E4C"/>
    <w:rsid w:val="00C80883"/>
    <w:rsid w:val="00C80921"/>
    <w:rsid w:val="00C80A66"/>
    <w:rsid w:val="00C86467"/>
    <w:rsid w:val="00C86CC5"/>
    <w:rsid w:val="00C91A38"/>
    <w:rsid w:val="00C9498E"/>
    <w:rsid w:val="00CA1557"/>
    <w:rsid w:val="00CA5454"/>
    <w:rsid w:val="00CB08CB"/>
    <w:rsid w:val="00CB210A"/>
    <w:rsid w:val="00CB6FFB"/>
    <w:rsid w:val="00CC6422"/>
    <w:rsid w:val="00CF7AC1"/>
    <w:rsid w:val="00D17E78"/>
    <w:rsid w:val="00D22227"/>
    <w:rsid w:val="00D42D9B"/>
    <w:rsid w:val="00D46773"/>
    <w:rsid w:val="00D637E1"/>
    <w:rsid w:val="00D66D82"/>
    <w:rsid w:val="00D751E3"/>
    <w:rsid w:val="00D8405B"/>
    <w:rsid w:val="00D931FB"/>
    <w:rsid w:val="00D96002"/>
    <w:rsid w:val="00DA0AF3"/>
    <w:rsid w:val="00DB5C97"/>
    <w:rsid w:val="00DD79BB"/>
    <w:rsid w:val="00DE1FCC"/>
    <w:rsid w:val="00E15370"/>
    <w:rsid w:val="00E15CFE"/>
    <w:rsid w:val="00E21F8D"/>
    <w:rsid w:val="00E26DE4"/>
    <w:rsid w:val="00E47E52"/>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A14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17E7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17E78"/>
    <w:rPr>
      <w:rFonts w:eastAsiaTheme="majorEastAsia" w:cstheme="majorBidi"/>
      <w:color w:val="000000" w:themeColor="text1"/>
      <w:szCs w:val="32"/>
    </w:rPr>
  </w:style>
  <w:style w:type="character" w:styleId="Hyperlink">
    <w:name w:val="Hyperlink"/>
    <w:basedOn w:val="Standaardalinea-lettertype"/>
    <w:uiPriority w:val="99"/>
    <w:unhideWhenUsed/>
    <w:rsid w:val="00E47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2492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2019-11-08T11:04:00Z</dcterms:created>
  <dcterms:modified xsi:type="dcterms:W3CDTF">2022-02-07T15:02:00Z</dcterms:modified>
</cp:coreProperties>
</file>