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06"/>
        <w:gridCol w:w="5953"/>
      </w:tblGrid>
      <w:tr w:rsidR="001203BA" w:rsidRPr="00534740" w14:paraId="115161D9" w14:textId="77777777" w:rsidTr="001B1B6D">
        <w:tc>
          <w:tcPr>
            <w:tcW w:w="2122" w:type="dxa"/>
          </w:tcPr>
          <w:p w14:paraId="58E8AD9E" w14:textId="77777777" w:rsidR="001203BA" w:rsidRPr="00B07AC9" w:rsidRDefault="00D76CDC" w:rsidP="001E494E">
            <w:pPr>
              <w:rPr>
                <w:b/>
                <w:sz w:val="32"/>
                <w:szCs w:val="32"/>
                <w:lang w:val="nl-BE"/>
              </w:rPr>
            </w:pPr>
            <w:r>
              <w:rPr>
                <w:b/>
                <w:sz w:val="32"/>
                <w:szCs w:val="32"/>
                <w:lang w:val="nl-BE"/>
              </w:rPr>
              <w:t>ARTIKEL 16:</w:t>
            </w:r>
            <w:r w:rsidR="00F06403">
              <w:rPr>
                <w:b/>
                <w:sz w:val="32"/>
                <w:szCs w:val="32"/>
                <w:lang w:val="nl-BE"/>
              </w:rPr>
              <w:t>24</w:t>
            </w:r>
          </w:p>
        </w:tc>
        <w:tc>
          <w:tcPr>
            <w:tcW w:w="11859" w:type="dxa"/>
            <w:gridSpan w:val="2"/>
            <w:shd w:val="clear" w:color="auto" w:fill="auto"/>
          </w:tcPr>
          <w:p w14:paraId="71597E5B" w14:textId="77777777" w:rsidR="001B29CB" w:rsidRPr="00CF7AC1" w:rsidRDefault="001B29CB" w:rsidP="001E494E">
            <w:pPr>
              <w:spacing w:line="240" w:lineRule="auto"/>
              <w:jc w:val="center"/>
              <w:rPr>
                <w:rFonts w:ascii="Cambria" w:eastAsia="Calibri" w:hAnsi="Cambria" w:cs="Times New Roman"/>
                <w:b/>
                <w:bCs/>
                <w:color w:val="4F81BD"/>
                <w:sz w:val="32"/>
                <w:szCs w:val="26"/>
                <w:lang w:val="nl-BE" w:eastAsia="fr-FR"/>
              </w:rPr>
            </w:pPr>
          </w:p>
        </w:tc>
      </w:tr>
      <w:tr w:rsidR="001203BA" w:rsidRPr="00534740" w14:paraId="66B69DFC" w14:textId="77777777" w:rsidTr="001B1B6D">
        <w:tc>
          <w:tcPr>
            <w:tcW w:w="2122" w:type="dxa"/>
          </w:tcPr>
          <w:p w14:paraId="7A236DD0" w14:textId="77777777" w:rsidR="001203BA" w:rsidRPr="00B07AC9" w:rsidRDefault="001203BA" w:rsidP="001E494E">
            <w:pPr>
              <w:rPr>
                <w:b/>
                <w:sz w:val="32"/>
                <w:szCs w:val="32"/>
                <w:lang w:val="nl-BE"/>
              </w:rPr>
            </w:pPr>
          </w:p>
        </w:tc>
        <w:tc>
          <w:tcPr>
            <w:tcW w:w="11859" w:type="dxa"/>
            <w:gridSpan w:val="2"/>
            <w:shd w:val="clear" w:color="auto" w:fill="auto"/>
          </w:tcPr>
          <w:p w14:paraId="3C38B64E" w14:textId="77777777" w:rsidR="001203BA" w:rsidRPr="007B17CA" w:rsidRDefault="001203BA" w:rsidP="001E494E">
            <w:pPr>
              <w:jc w:val="center"/>
              <w:rPr>
                <w:rFonts w:ascii="Cambria" w:eastAsia="Calibri" w:hAnsi="Cambria" w:cs="Times New Roman"/>
                <w:b/>
                <w:bCs/>
                <w:color w:val="4F81BD"/>
                <w:sz w:val="32"/>
                <w:szCs w:val="26"/>
                <w:lang w:val="nl-NL" w:eastAsia="fr-FR"/>
              </w:rPr>
            </w:pPr>
          </w:p>
        </w:tc>
      </w:tr>
      <w:tr w:rsidR="00A92F93" w:rsidRPr="001B1B6D" w14:paraId="6F557AED" w14:textId="77777777" w:rsidTr="001B1B6D">
        <w:trPr>
          <w:trHeight w:val="3921"/>
        </w:trPr>
        <w:tc>
          <w:tcPr>
            <w:tcW w:w="2122" w:type="dxa"/>
          </w:tcPr>
          <w:p w14:paraId="06D7A99D" w14:textId="77777777" w:rsidR="00A92F93" w:rsidRDefault="00A92F93" w:rsidP="001E494E">
            <w:pPr>
              <w:spacing w:after="0" w:line="240" w:lineRule="auto"/>
              <w:rPr>
                <w:rFonts w:cs="Calibri"/>
                <w:lang w:val="nl-BE"/>
              </w:rPr>
            </w:pPr>
            <w:r>
              <w:rPr>
                <w:rFonts w:cs="Calibri"/>
                <w:lang w:val="nl-BE"/>
              </w:rPr>
              <w:t>WVV</w:t>
            </w:r>
          </w:p>
        </w:tc>
        <w:tc>
          <w:tcPr>
            <w:tcW w:w="5906" w:type="dxa"/>
            <w:shd w:val="clear" w:color="auto" w:fill="auto"/>
          </w:tcPr>
          <w:p w14:paraId="1A929014" w14:textId="77777777" w:rsidR="00A92F93" w:rsidRDefault="00A92F93" w:rsidP="001E494E">
            <w:pPr>
              <w:spacing w:after="0" w:line="240" w:lineRule="auto"/>
              <w:jc w:val="both"/>
              <w:rPr>
                <w:rFonts w:cs="Calibri"/>
                <w:lang w:val="nl-BE"/>
              </w:rPr>
            </w:pPr>
            <w:r w:rsidRPr="00F9566B">
              <w:rPr>
                <w:rFonts w:cs="Calibri"/>
                <w:lang w:val="nl-BE"/>
              </w:rPr>
              <w:t>De zetelverplaatsing van een SCE met statutaire zetel in België naar een andere lidstaat heeft geen rechtsgevolg wanneer de minister bevoegd voor Economie zich daartegen overeenkomstig artikel 7, lid 14, van verordening (EG) nr. 1435/2003 middels officiële kennisgeving verzet binnen twee maanden na de bekendmaking van het verplaatsingsvoorstel in de Bijlagen bij het Belgisch Staatsblad. De officiële kennisgeving wordt gepubliceerd in overeenstemming met artikel 2:14, 4°.</w:t>
            </w:r>
          </w:p>
          <w:p w14:paraId="03AE10E8" w14:textId="77777777" w:rsidR="00A92F93" w:rsidRDefault="00A92F93" w:rsidP="001E494E">
            <w:pPr>
              <w:spacing w:after="0" w:line="240" w:lineRule="auto"/>
              <w:jc w:val="both"/>
              <w:rPr>
                <w:rFonts w:cs="Calibri"/>
                <w:lang w:val="nl-BE"/>
              </w:rPr>
            </w:pPr>
          </w:p>
          <w:p w14:paraId="47CB4C41" w14:textId="77777777" w:rsidR="00A92F93" w:rsidRDefault="00A92F93" w:rsidP="001E494E">
            <w:pPr>
              <w:spacing w:after="0" w:line="240" w:lineRule="auto"/>
              <w:jc w:val="both"/>
              <w:rPr>
                <w:rFonts w:cs="Calibri"/>
                <w:lang w:val="nl-BE"/>
              </w:rPr>
            </w:pPr>
            <w:r w:rsidRPr="00F9566B">
              <w:rPr>
                <w:rFonts w:cs="Calibri"/>
                <w:lang w:val="nl-BE"/>
              </w:rPr>
              <w:t>Het attest bedoeld in artikel 16:25 mag enkel worden afgegeven nadat het verzet is ingetrokken of vernietigd door een beslissing die niet vatbaar is voor verhaal</w:t>
            </w:r>
            <w:r>
              <w:rPr>
                <w:rFonts w:cs="Calibri"/>
                <w:lang w:val="nl-BE"/>
              </w:rPr>
              <w:t>.</w:t>
            </w:r>
          </w:p>
          <w:p w14:paraId="5D392763" w14:textId="77777777" w:rsidR="00A92F93" w:rsidRDefault="00A92F93" w:rsidP="001E494E">
            <w:pPr>
              <w:spacing w:after="0" w:line="240" w:lineRule="auto"/>
              <w:jc w:val="both"/>
              <w:rPr>
                <w:rFonts w:cs="Calibri"/>
                <w:lang w:val="nl-BE"/>
              </w:rPr>
            </w:pPr>
          </w:p>
          <w:p w14:paraId="74A8EFA2" w14:textId="77777777" w:rsidR="00A92F93" w:rsidRPr="00F9566B" w:rsidRDefault="00A92F93" w:rsidP="001E494E">
            <w:pPr>
              <w:spacing w:after="0" w:line="240" w:lineRule="auto"/>
              <w:jc w:val="both"/>
              <w:rPr>
                <w:rFonts w:cs="Calibri"/>
                <w:lang w:val="nl-BE"/>
              </w:rPr>
            </w:pPr>
            <w:r w:rsidRPr="00F9566B">
              <w:rPr>
                <w:rFonts w:cs="Calibri"/>
                <w:lang w:val="nl-BE"/>
              </w:rPr>
              <w:t>De Koning bepaalt bij een in Ministerraad overlegd besluit de versnelde procedure die van toepassing is op het beroep tegen het verzet bepaald in dit artikel</w:t>
            </w:r>
            <w:r>
              <w:rPr>
                <w:rFonts w:cs="Calibri"/>
                <w:lang w:val="nl-BE"/>
              </w:rPr>
              <w:t>.</w:t>
            </w:r>
          </w:p>
        </w:tc>
        <w:tc>
          <w:tcPr>
            <w:tcW w:w="5953" w:type="dxa"/>
            <w:shd w:val="clear" w:color="auto" w:fill="auto"/>
          </w:tcPr>
          <w:p w14:paraId="0FFDFE8F" w14:textId="77777777" w:rsidR="00A92F93" w:rsidRDefault="00A92F93" w:rsidP="001E494E">
            <w:pPr>
              <w:spacing w:after="0" w:line="240" w:lineRule="auto"/>
              <w:jc w:val="both"/>
              <w:rPr>
                <w:rFonts w:cs="Calibri"/>
                <w:lang w:val="fr-FR"/>
              </w:rPr>
            </w:pPr>
            <w:r w:rsidRPr="00F9566B">
              <w:rPr>
                <w:rFonts w:cs="Calibri"/>
                <w:lang w:val="fr-FR"/>
              </w:rPr>
              <w:t xml:space="preserve">Le transfert du siège d’une SCE ayant son siège statutaire en Belgique dans un autre État membre ne prend pas effet lorsque le ministre qui a l'Économie dans ses attributions s'y oppose, conformément à l'article 7, § 14, du règlement (CE) n° 1435/2003, par notification à la société concernée dans le délai de deux mois après la publication du projet de transfert aux Annexes du Moniteur belge. La notification est publiée conformément à l'article </w:t>
            </w:r>
            <w:proofErr w:type="gramStart"/>
            <w:r w:rsidRPr="00F9566B">
              <w:rPr>
                <w:rFonts w:cs="Calibri"/>
                <w:lang w:val="fr-FR"/>
              </w:rPr>
              <w:t>2:</w:t>
            </w:r>
            <w:proofErr w:type="gramEnd"/>
            <w:r w:rsidRPr="00F9566B">
              <w:rPr>
                <w:rFonts w:cs="Calibri"/>
                <w:lang w:val="fr-FR"/>
              </w:rPr>
              <w:t>14, 4°</w:t>
            </w:r>
            <w:r>
              <w:rPr>
                <w:rFonts w:cs="Calibri"/>
                <w:lang w:val="fr-FR"/>
              </w:rPr>
              <w:t>.</w:t>
            </w:r>
          </w:p>
          <w:p w14:paraId="1E1B6C39" w14:textId="77777777" w:rsidR="00A92F93" w:rsidRDefault="00A92F93" w:rsidP="001E494E">
            <w:pPr>
              <w:spacing w:after="0" w:line="240" w:lineRule="auto"/>
              <w:jc w:val="both"/>
              <w:rPr>
                <w:rFonts w:cs="Calibri"/>
                <w:lang w:val="fr-FR"/>
              </w:rPr>
            </w:pPr>
          </w:p>
          <w:p w14:paraId="1D1389FF" w14:textId="77777777" w:rsidR="00A92F93" w:rsidRDefault="00A92F93" w:rsidP="001E494E">
            <w:pPr>
              <w:spacing w:after="0" w:line="240" w:lineRule="auto"/>
              <w:jc w:val="both"/>
              <w:rPr>
                <w:rFonts w:cs="Calibri"/>
                <w:lang w:val="fr-FR"/>
              </w:rPr>
            </w:pPr>
            <w:r w:rsidRPr="00F9566B">
              <w:rPr>
                <w:rFonts w:cs="Calibri"/>
                <w:lang w:val="fr-FR"/>
              </w:rPr>
              <w:t xml:space="preserve">Le certificat prévu par l'article </w:t>
            </w:r>
            <w:proofErr w:type="gramStart"/>
            <w:r w:rsidRPr="00F9566B">
              <w:rPr>
                <w:rFonts w:cs="Calibri"/>
                <w:lang w:val="fr-FR"/>
              </w:rPr>
              <w:t>16:</w:t>
            </w:r>
            <w:proofErr w:type="gramEnd"/>
            <w:r w:rsidRPr="00F9566B">
              <w:rPr>
                <w:rFonts w:cs="Calibri"/>
                <w:lang w:val="fr-FR"/>
              </w:rPr>
              <w:t>25 ne peut être délivré qu'après retrait ou annulation de l'opposition par une décision qui n’est pas susceptible de recours.</w:t>
            </w:r>
          </w:p>
          <w:p w14:paraId="11A1B376" w14:textId="77777777" w:rsidR="00A92F93" w:rsidRDefault="00A92F93" w:rsidP="001E494E">
            <w:pPr>
              <w:spacing w:after="0" w:line="240" w:lineRule="auto"/>
              <w:jc w:val="both"/>
              <w:rPr>
                <w:rFonts w:cs="Calibri"/>
                <w:lang w:val="fr-FR"/>
              </w:rPr>
            </w:pPr>
          </w:p>
          <w:p w14:paraId="036E75B6" w14:textId="77777777" w:rsidR="00A92F93" w:rsidRDefault="00A92F93" w:rsidP="001E494E">
            <w:pPr>
              <w:spacing w:after="0" w:line="240" w:lineRule="auto"/>
              <w:jc w:val="both"/>
              <w:rPr>
                <w:rFonts w:cs="Calibri"/>
                <w:lang w:val="fr-FR"/>
              </w:rPr>
            </w:pPr>
            <w:r w:rsidRPr="00F9566B">
              <w:rPr>
                <w:rFonts w:cs="Calibri"/>
                <w:lang w:val="fr-FR"/>
              </w:rPr>
              <w:t>Le Roi détermine, par arrêté délibéré en Conseil des ministres, la procédure accélérée applicable aux recours formés à l'encontre de l'opposition visée au présent article</w:t>
            </w:r>
            <w:r>
              <w:rPr>
                <w:rFonts w:cs="Calibri"/>
                <w:lang w:val="fr-FR"/>
              </w:rPr>
              <w:t>.</w:t>
            </w:r>
          </w:p>
          <w:p w14:paraId="3FA6714D" w14:textId="77777777" w:rsidR="00A92F93" w:rsidRPr="00BE221B" w:rsidRDefault="00A92F93" w:rsidP="001E494E">
            <w:pPr>
              <w:spacing w:after="0" w:line="240" w:lineRule="auto"/>
              <w:jc w:val="both"/>
              <w:rPr>
                <w:rFonts w:cs="Calibri"/>
                <w:lang w:val="fr-BE"/>
              </w:rPr>
            </w:pPr>
          </w:p>
        </w:tc>
      </w:tr>
      <w:tr w:rsidR="00964D04" w:rsidRPr="001B1B6D" w14:paraId="54911537" w14:textId="77777777" w:rsidTr="00964D04">
        <w:trPr>
          <w:trHeight w:val="450"/>
        </w:trPr>
        <w:tc>
          <w:tcPr>
            <w:tcW w:w="2122" w:type="dxa"/>
          </w:tcPr>
          <w:p w14:paraId="3D59BBC7" w14:textId="77777777" w:rsidR="00964D04" w:rsidRPr="00EB7A16" w:rsidRDefault="00964D04" w:rsidP="00CC40A6">
            <w:pPr>
              <w:spacing w:after="0"/>
            </w:pPr>
            <w:proofErr w:type="spellStart"/>
            <w:r w:rsidRPr="00EB7A16">
              <w:t>Ontwerp</w:t>
            </w:r>
            <w:proofErr w:type="spellEnd"/>
          </w:p>
        </w:tc>
        <w:tc>
          <w:tcPr>
            <w:tcW w:w="5906" w:type="dxa"/>
            <w:shd w:val="clear" w:color="auto" w:fill="auto"/>
          </w:tcPr>
          <w:p w14:paraId="36858780" w14:textId="77777777" w:rsidR="00964D04" w:rsidRPr="00EB7A16" w:rsidRDefault="00964D04" w:rsidP="00CC40A6">
            <w:pPr>
              <w:spacing w:after="0" w:line="240" w:lineRule="auto"/>
            </w:pPr>
            <w:proofErr w:type="spellStart"/>
            <w:r w:rsidRPr="00EB7A16">
              <w:t>Geen</w:t>
            </w:r>
            <w:proofErr w:type="spellEnd"/>
            <w:r w:rsidRPr="00EB7A16">
              <w:t xml:space="preserve"> </w:t>
            </w:r>
            <w:proofErr w:type="spellStart"/>
            <w:r w:rsidRPr="00EB7A16">
              <w:t>artikel</w:t>
            </w:r>
            <w:proofErr w:type="spellEnd"/>
            <w:r>
              <w:t>.</w:t>
            </w:r>
          </w:p>
        </w:tc>
        <w:tc>
          <w:tcPr>
            <w:tcW w:w="5953" w:type="dxa"/>
            <w:shd w:val="clear" w:color="auto" w:fill="auto"/>
          </w:tcPr>
          <w:p w14:paraId="3BAC1AE8" w14:textId="77777777" w:rsidR="00964D04" w:rsidRDefault="00964D04" w:rsidP="00CC40A6">
            <w:pPr>
              <w:spacing w:after="0" w:line="240" w:lineRule="auto"/>
            </w:pPr>
            <w:r w:rsidRPr="00EB7A16">
              <w:t xml:space="preserve">Pas </w:t>
            </w:r>
            <w:proofErr w:type="spellStart"/>
            <w:r w:rsidRPr="00EB7A16">
              <w:t>d’article</w:t>
            </w:r>
            <w:proofErr w:type="spellEnd"/>
            <w:r>
              <w:t>.</w:t>
            </w:r>
          </w:p>
        </w:tc>
      </w:tr>
      <w:tr w:rsidR="00964D04" w:rsidRPr="00C5777F" w14:paraId="46582619" w14:textId="77777777" w:rsidTr="001B1B6D">
        <w:trPr>
          <w:trHeight w:val="470"/>
        </w:trPr>
        <w:tc>
          <w:tcPr>
            <w:tcW w:w="2122" w:type="dxa"/>
          </w:tcPr>
          <w:p w14:paraId="5CE7BE23" w14:textId="77777777" w:rsidR="00964D04" w:rsidRPr="00C5777F" w:rsidRDefault="00964D04" w:rsidP="001E494E">
            <w:pPr>
              <w:spacing w:after="0" w:line="240" w:lineRule="auto"/>
              <w:rPr>
                <w:rFonts w:cs="Calibri"/>
                <w:lang w:val="fr-FR"/>
              </w:rPr>
            </w:pPr>
            <w:proofErr w:type="spellStart"/>
            <w:r>
              <w:rPr>
                <w:rFonts w:cs="Calibri"/>
                <w:lang w:val="fr-FR"/>
              </w:rPr>
              <w:t>Voorontwerp</w:t>
            </w:r>
            <w:proofErr w:type="spellEnd"/>
          </w:p>
        </w:tc>
        <w:tc>
          <w:tcPr>
            <w:tcW w:w="5906" w:type="dxa"/>
            <w:shd w:val="clear" w:color="auto" w:fill="auto"/>
          </w:tcPr>
          <w:p w14:paraId="417638C7" w14:textId="77777777" w:rsidR="00964D04" w:rsidRPr="00C5777F" w:rsidRDefault="00964D04" w:rsidP="001E494E">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shd w:val="clear" w:color="auto" w:fill="auto"/>
          </w:tcPr>
          <w:p w14:paraId="6F6D11FE" w14:textId="77777777" w:rsidR="00964D04" w:rsidRPr="00F9566B" w:rsidRDefault="00964D04" w:rsidP="001E494E">
            <w:pPr>
              <w:spacing w:after="0" w:line="240" w:lineRule="auto"/>
              <w:jc w:val="both"/>
              <w:rPr>
                <w:rFonts w:cs="Calibri"/>
                <w:lang w:val="fr-FR"/>
              </w:rPr>
            </w:pPr>
            <w:r>
              <w:rPr>
                <w:rFonts w:cs="Calibri"/>
                <w:lang w:val="fr-FR"/>
              </w:rPr>
              <w:t>Pas d’article.</w:t>
            </w:r>
          </w:p>
        </w:tc>
      </w:tr>
      <w:tr w:rsidR="00964D04" w:rsidRPr="001B1B6D" w14:paraId="5AA06A60" w14:textId="77777777" w:rsidTr="001B1B6D">
        <w:trPr>
          <w:trHeight w:val="75"/>
        </w:trPr>
        <w:tc>
          <w:tcPr>
            <w:tcW w:w="2122" w:type="dxa"/>
          </w:tcPr>
          <w:p w14:paraId="3EBA6B6B" w14:textId="77777777" w:rsidR="00964D04" w:rsidRPr="00EB7A16" w:rsidRDefault="00964D04" w:rsidP="001E494E">
            <w:pPr>
              <w:spacing w:after="0"/>
            </w:pPr>
            <w:proofErr w:type="spellStart"/>
            <w:r>
              <w:t>MvT</w:t>
            </w:r>
            <w:proofErr w:type="spellEnd"/>
          </w:p>
        </w:tc>
        <w:tc>
          <w:tcPr>
            <w:tcW w:w="5906" w:type="dxa"/>
            <w:shd w:val="clear" w:color="auto" w:fill="auto"/>
          </w:tcPr>
          <w:p w14:paraId="10B7B5A6" w14:textId="77777777" w:rsidR="00964D04" w:rsidRPr="00B62662" w:rsidRDefault="00964D04" w:rsidP="001E494E">
            <w:pPr>
              <w:spacing w:after="0" w:line="240" w:lineRule="auto"/>
              <w:jc w:val="both"/>
              <w:rPr>
                <w:lang w:val="nl-BE"/>
              </w:rPr>
            </w:pPr>
            <w:r w:rsidRPr="00B62662">
              <w:rPr>
                <w:lang w:val="nl-BE"/>
              </w:rPr>
              <w:t>Deze bepaling herneemt artikel 998 van het Wetboek van vennootschappen.</w:t>
            </w:r>
          </w:p>
        </w:tc>
        <w:tc>
          <w:tcPr>
            <w:tcW w:w="5953" w:type="dxa"/>
            <w:shd w:val="clear" w:color="auto" w:fill="auto"/>
          </w:tcPr>
          <w:p w14:paraId="72C0699C" w14:textId="77777777" w:rsidR="00964D04" w:rsidRPr="00B62662" w:rsidRDefault="00964D04" w:rsidP="001E494E">
            <w:pPr>
              <w:spacing w:after="0" w:line="240" w:lineRule="auto"/>
              <w:rPr>
                <w:lang w:val="fr-FR"/>
              </w:rPr>
            </w:pPr>
            <w:r w:rsidRPr="00B62662">
              <w:rPr>
                <w:lang w:val="fr-FR"/>
              </w:rPr>
              <w:t>Cette disposition reprend l'article 998 du Code des sociétés.</w:t>
            </w:r>
          </w:p>
        </w:tc>
      </w:tr>
      <w:tr w:rsidR="00964D04" w:rsidRPr="00B62662" w14:paraId="5EA9FA26" w14:textId="77777777" w:rsidTr="001B1B6D">
        <w:trPr>
          <w:trHeight w:val="435"/>
        </w:trPr>
        <w:tc>
          <w:tcPr>
            <w:tcW w:w="2122" w:type="dxa"/>
          </w:tcPr>
          <w:p w14:paraId="571DC382" w14:textId="77777777" w:rsidR="00964D04" w:rsidRDefault="00964D04" w:rsidP="001E494E">
            <w:pPr>
              <w:spacing w:after="0"/>
            </w:pPr>
            <w:proofErr w:type="spellStart"/>
            <w:r>
              <w:t>RvSt</w:t>
            </w:r>
            <w:proofErr w:type="spellEnd"/>
          </w:p>
        </w:tc>
        <w:tc>
          <w:tcPr>
            <w:tcW w:w="5906" w:type="dxa"/>
            <w:shd w:val="clear" w:color="auto" w:fill="auto"/>
          </w:tcPr>
          <w:p w14:paraId="2BE23BE1" w14:textId="77777777" w:rsidR="00964D04" w:rsidRPr="00B62662" w:rsidRDefault="00964D04" w:rsidP="001E494E">
            <w:pPr>
              <w:spacing w:after="0" w:line="240" w:lineRule="auto"/>
              <w:rPr>
                <w:lang w:val="nl-BE"/>
              </w:rPr>
            </w:pPr>
            <w:r>
              <w:rPr>
                <w:lang w:val="nl-BE"/>
              </w:rPr>
              <w:t>Geen opmerkingen.</w:t>
            </w:r>
          </w:p>
        </w:tc>
        <w:tc>
          <w:tcPr>
            <w:tcW w:w="5953" w:type="dxa"/>
            <w:shd w:val="clear" w:color="auto" w:fill="auto"/>
          </w:tcPr>
          <w:p w14:paraId="211FDE90" w14:textId="77777777" w:rsidR="00964D04" w:rsidRPr="00B62662" w:rsidRDefault="00964D04" w:rsidP="001E494E">
            <w:pPr>
              <w:spacing w:after="0" w:line="240" w:lineRule="auto"/>
              <w:rPr>
                <w:lang w:val="fr-FR"/>
              </w:rPr>
            </w:pPr>
            <w:r>
              <w:rPr>
                <w:lang w:val="fr-FR"/>
              </w:rPr>
              <w:t>Pas de remarques.</w:t>
            </w:r>
          </w:p>
        </w:tc>
      </w:tr>
      <w:tr w:rsidR="00964D04" w:rsidRPr="001B1B6D" w14:paraId="34A27D59" w14:textId="77777777" w:rsidTr="001B1B6D">
        <w:trPr>
          <w:trHeight w:val="75"/>
        </w:trPr>
        <w:tc>
          <w:tcPr>
            <w:tcW w:w="2122" w:type="dxa"/>
          </w:tcPr>
          <w:p w14:paraId="39EE7AB7" w14:textId="77777777" w:rsidR="00964D04" w:rsidRPr="00865050" w:rsidRDefault="00964D04" w:rsidP="00CD5938">
            <w:pPr>
              <w:pStyle w:val="Kop1"/>
            </w:pPr>
            <w:proofErr w:type="spellStart"/>
            <w:r w:rsidRPr="00865050">
              <w:lastRenderedPageBreak/>
              <w:t>Amendement</w:t>
            </w:r>
            <w:proofErr w:type="spellEnd"/>
            <w:r w:rsidRPr="00865050">
              <w:t xml:space="preserve"> 314</w:t>
            </w:r>
          </w:p>
        </w:tc>
        <w:tc>
          <w:tcPr>
            <w:tcW w:w="5906" w:type="dxa"/>
            <w:shd w:val="clear" w:color="auto" w:fill="auto"/>
          </w:tcPr>
          <w:p w14:paraId="0CE6A270" w14:textId="77777777" w:rsidR="00964D04" w:rsidRPr="00865050" w:rsidRDefault="00964D04" w:rsidP="001E494E">
            <w:pPr>
              <w:autoSpaceDE w:val="0"/>
              <w:autoSpaceDN w:val="0"/>
              <w:adjustRightInd w:val="0"/>
              <w:spacing w:after="0" w:line="240" w:lineRule="auto"/>
              <w:jc w:val="both"/>
              <w:rPr>
                <w:rFonts w:cstheme="minorHAnsi"/>
                <w:bCs/>
                <w:lang w:val="nl-BE"/>
              </w:rPr>
            </w:pPr>
            <w:r w:rsidRPr="00865050">
              <w:rPr>
                <w:rFonts w:cstheme="minorHAnsi"/>
                <w:bCs/>
                <w:lang w:val="nl-BE"/>
              </w:rPr>
              <w:t>In het voorgestelde artikel 16:26, de volgende wijzigingen aanbrengen:</w:t>
            </w:r>
          </w:p>
          <w:p w14:paraId="06F26201" w14:textId="77777777" w:rsidR="00964D04" w:rsidRPr="00865050" w:rsidRDefault="00964D04" w:rsidP="001E494E">
            <w:pPr>
              <w:autoSpaceDE w:val="0"/>
              <w:autoSpaceDN w:val="0"/>
              <w:adjustRightInd w:val="0"/>
              <w:spacing w:after="0" w:line="240" w:lineRule="auto"/>
              <w:jc w:val="both"/>
              <w:rPr>
                <w:rFonts w:cstheme="minorHAnsi"/>
                <w:bCs/>
                <w:lang w:val="nl-BE"/>
              </w:rPr>
            </w:pPr>
          </w:p>
          <w:p w14:paraId="1BA68680" w14:textId="77777777" w:rsidR="00964D04" w:rsidRPr="00865050" w:rsidRDefault="00964D04" w:rsidP="001E494E">
            <w:pPr>
              <w:autoSpaceDE w:val="0"/>
              <w:autoSpaceDN w:val="0"/>
              <w:adjustRightInd w:val="0"/>
              <w:spacing w:after="0" w:line="240" w:lineRule="auto"/>
              <w:jc w:val="both"/>
              <w:rPr>
                <w:rFonts w:cstheme="minorHAnsi"/>
                <w:lang w:val="nl-BE"/>
              </w:rPr>
            </w:pPr>
            <w:r w:rsidRPr="00865050">
              <w:rPr>
                <w:rFonts w:cstheme="minorHAnsi"/>
                <w:bCs/>
                <w:lang w:val="nl-BE"/>
              </w:rPr>
              <w:t xml:space="preserve">1° in de Franse tekst van het eerste lid het woord </w:t>
            </w:r>
            <w:r w:rsidRPr="00865050">
              <w:rPr>
                <w:rFonts w:cstheme="minorHAnsi"/>
                <w:iCs/>
                <w:lang w:val="nl-BE"/>
              </w:rPr>
              <w:t xml:space="preserve">“officielle” </w:t>
            </w:r>
            <w:r w:rsidRPr="00865050">
              <w:rPr>
                <w:rFonts w:cstheme="minorHAnsi"/>
                <w:bCs/>
                <w:lang w:val="nl-BE"/>
              </w:rPr>
              <w:t xml:space="preserve">invoegen tussen de woorden </w:t>
            </w:r>
            <w:r w:rsidRPr="00865050">
              <w:rPr>
                <w:rFonts w:cstheme="minorHAnsi"/>
                <w:lang w:val="nl-BE"/>
              </w:rPr>
              <w:t>“par notification”</w:t>
            </w:r>
          </w:p>
          <w:p w14:paraId="5E829093" w14:textId="77777777" w:rsidR="00964D04" w:rsidRPr="00865050" w:rsidRDefault="00964D04" w:rsidP="001E494E">
            <w:pPr>
              <w:autoSpaceDE w:val="0"/>
              <w:autoSpaceDN w:val="0"/>
              <w:adjustRightInd w:val="0"/>
              <w:spacing w:after="0" w:line="240" w:lineRule="auto"/>
              <w:jc w:val="both"/>
              <w:rPr>
                <w:rFonts w:cstheme="minorHAnsi"/>
                <w:lang w:val="nl-BE"/>
              </w:rPr>
            </w:pPr>
            <w:r w:rsidRPr="00865050">
              <w:rPr>
                <w:rFonts w:cstheme="minorHAnsi"/>
                <w:bCs/>
                <w:lang w:val="nl-BE"/>
              </w:rPr>
              <w:t xml:space="preserve">en de woorden </w:t>
            </w:r>
            <w:r w:rsidRPr="00865050">
              <w:rPr>
                <w:rFonts w:cstheme="minorHAnsi"/>
                <w:lang w:val="nl-BE"/>
              </w:rPr>
              <w:t xml:space="preserve">“à la société” </w:t>
            </w:r>
            <w:r w:rsidRPr="00865050">
              <w:rPr>
                <w:rFonts w:cstheme="minorHAnsi"/>
                <w:bCs/>
                <w:lang w:val="nl-BE"/>
              </w:rPr>
              <w:t xml:space="preserve">en het woord </w:t>
            </w:r>
            <w:r w:rsidRPr="00865050">
              <w:rPr>
                <w:rFonts w:cstheme="minorHAnsi"/>
                <w:iCs/>
                <w:lang w:val="nl-BE"/>
              </w:rPr>
              <w:t xml:space="preserve">“officielle” </w:t>
            </w:r>
            <w:r w:rsidRPr="00865050">
              <w:rPr>
                <w:rFonts w:cstheme="minorHAnsi"/>
                <w:bCs/>
                <w:lang w:val="nl-BE"/>
              </w:rPr>
              <w:t xml:space="preserve">invoegen tussen de woorden </w:t>
            </w:r>
            <w:r w:rsidRPr="00865050">
              <w:rPr>
                <w:rFonts w:cstheme="minorHAnsi"/>
                <w:lang w:val="nl-BE"/>
              </w:rPr>
              <w:t xml:space="preserve">“La notification” </w:t>
            </w:r>
            <w:r w:rsidRPr="00865050">
              <w:rPr>
                <w:rFonts w:cstheme="minorHAnsi"/>
                <w:bCs/>
                <w:lang w:val="nl-BE"/>
              </w:rPr>
              <w:t xml:space="preserve">en de woorden </w:t>
            </w:r>
            <w:r w:rsidRPr="00865050">
              <w:rPr>
                <w:rFonts w:cstheme="minorHAnsi"/>
                <w:lang w:val="nl-BE"/>
              </w:rPr>
              <w:t>“est publiée”;</w:t>
            </w:r>
          </w:p>
          <w:p w14:paraId="51F13A75" w14:textId="77777777" w:rsidR="00964D04" w:rsidRPr="00865050" w:rsidRDefault="00964D04" w:rsidP="001E494E">
            <w:pPr>
              <w:autoSpaceDE w:val="0"/>
              <w:autoSpaceDN w:val="0"/>
              <w:adjustRightInd w:val="0"/>
              <w:spacing w:after="0" w:line="240" w:lineRule="auto"/>
              <w:jc w:val="both"/>
              <w:rPr>
                <w:rFonts w:cstheme="minorHAnsi"/>
                <w:lang w:val="nl-BE"/>
              </w:rPr>
            </w:pPr>
          </w:p>
          <w:p w14:paraId="2E5C794A" w14:textId="77777777" w:rsidR="00964D04" w:rsidRPr="00865050" w:rsidRDefault="00964D04" w:rsidP="001E494E">
            <w:pPr>
              <w:autoSpaceDE w:val="0"/>
              <w:autoSpaceDN w:val="0"/>
              <w:adjustRightInd w:val="0"/>
              <w:spacing w:after="0" w:line="240" w:lineRule="auto"/>
              <w:jc w:val="both"/>
              <w:rPr>
                <w:rFonts w:cstheme="minorHAnsi"/>
                <w:lang w:val="nl-BE"/>
              </w:rPr>
            </w:pPr>
            <w:r w:rsidRPr="00865050">
              <w:rPr>
                <w:rFonts w:cstheme="minorHAnsi"/>
                <w:bCs/>
                <w:lang w:val="nl-BE"/>
              </w:rPr>
              <w:t xml:space="preserve">2° in de Franse tekst van het tweede lid, het woord </w:t>
            </w:r>
            <w:r w:rsidRPr="00865050">
              <w:rPr>
                <w:rFonts w:cstheme="minorHAnsi"/>
                <w:iCs/>
                <w:lang w:val="nl-BE"/>
              </w:rPr>
              <w:t xml:space="preserve">“le” </w:t>
            </w:r>
            <w:r w:rsidRPr="00865050">
              <w:rPr>
                <w:rFonts w:cstheme="minorHAnsi"/>
                <w:bCs/>
                <w:lang w:val="nl-BE"/>
              </w:rPr>
              <w:t xml:space="preserve">invoegen tussen de woorden </w:t>
            </w:r>
            <w:r w:rsidRPr="00865050">
              <w:rPr>
                <w:rFonts w:cstheme="minorHAnsi"/>
                <w:lang w:val="nl-BE"/>
              </w:rPr>
              <w:t xml:space="preserve">“qu’après” </w:t>
            </w:r>
            <w:r w:rsidRPr="00865050">
              <w:rPr>
                <w:rFonts w:cstheme="minorHAnsi"/>
                <w:bCs/>
                <w:lang w:val="nl-BE"/>
              </w:rPr>
              <w:t xml:space="preserve">en de woorden </w:t>
            </w:r>
            <w:r w:rsidRPr="00865050">
              <w:rPr>
                <w:rFonts w:cstheme="minorHAnsi"/>
                <w:lang w:val="nl-BE"/>
              </w:rPr>
              <w:t xml:space="preserve">“retrait de l’opposition” </w:t>
            </w:r>
            <w:r w:rsidRPr="00865050">
              <w:rPr>
                <w:rFonts w:cstheme="minorHAnsi"/>
                <w:bCs/>
                <w:lang w:val="nl-BE"/>
              </w:rPr>
              <w:t>e</w:t>
            </w:r>
            <w:bookmarkStart w:id="0" w:name="_GoBack"/>
            <w:bookmarkEnd w:id="0"/>
            <w:r w:rsidRPr="00865050">
              <w:rPr>
                <w:rFonts w:cstheme="minorHAnsi"/>
                <w:bCs/>
                <w:lang w:val="nl-BE"/>
              </w:rPr>
              <w:t xml:space="preserve">n de woorden </w:t>
            </w:r>
            <w:r w:rsidRPr="00865050">
              <w:rPr>
                <w:rFonts w:cstheme="minorHAnsi"/>
                <w:iCs/>
                <w:lang w:val="nl-BE"/>
              </w:rPr>
              <w:t xml:space="preserve">“de celle-ci” </w:t>
            </w:r>
            <w:r w:rsidRPr="00865050">
              <w:rPr>
                <w:rFonts w:cstheme="minorHAnsi"/>
                <w:bCs/>
                <w:lang w:val="nl-BE"/>
              </w:rPr>
              <w:t xml:space="preserve">invoegen tussen de woorden </w:t>
            </w:r>
            <w:r w:rsidRPr="00865050">
              <w:rPr>
                <w:rFonts w:cstheme="minorHAnsi"/>
                <w:lang w:val="nl-BE"/>
              </w:rPr>
              <w:t xml:space="preserve">“ou annulation” </w:t>
            </w:r>
            <w:r w:rsidRPr="00865050">
              <w:rPr>
                <w:rFonts w:cstheme="minorHAnsi"/>
                <w:bCs/>
                <w:lang w:val="nl-BE"/>
              </w:rPr>
              <w:t xml:space="preserve">en de woorden </w:t>
            </w:r>
            <w:r w:rsidRPr="00865050">
              <w:rPr>
                <w:rFonts w:cstheme="minorHAnsi"/>
                <w:lang w:val="nl-BE"/>
              </w:rPr>
              <w:t>“par une décision”.</w:t>
            </w:r>
          </w:p>
          <w:p w14:paraId="2CA5DD1B" w14:textId="77777777" w:rsidR="00964D04" w:rsidRPr="00865050" w:rsidRDefault="00964D04" w:rsidP="001E494E">
            <w:pPr>
              <w:autoSpaceDE w:val="0"/>
              <w:autoSpaceDN w:val="0"/>
              <w:adjustRightInd w:val="0"/>
              <w:spacing w:after="0" w:line="240" w:lineRule="auto"/>
              <w:jc w:val="both"/>
              <w:rPr>
                <w:rFonts w:cstheme="minorHAnsi"/>
                <w:lang w:val="nl-BE"/>
              </w:rPr>
            </w:pPr>
          </w:p>
          <w:p w14:paraId="72202AC0" w14:textId="77777777" w:rsidR="00964D04" w:rsidRPr="00865050" w:rsidRDefault="00964D04" w:rsidP="001E494E">
            <w:pPr>
              <w:autoSpaceDE w:val="0"/>
              <w:autoSpaceDN w:val="0"/>
              <w:adjustRightInd w:val="0"/>
              <w:spacing w:after="0" w:line="240" w:lineRule="auto"/>
              <w:jc w:val="both"/>
              <w:rPr>
                <w:rFonts w:cstheme="minorHAnsi"/>
                <w:lang w:val="nl-BE"/>
              </w:rPr>
            </w:pPr>
            <w:r w:rsidRPr="00865050">
              <w:rPr>
                <w:rFonts w:cstheme="minorHAnsi"/>
                <w:lang w:val="nl-BE"/>
              </w:rPr>
              <w:t>VERANTWOORDING</w:t>
            </w:r>
          </w:p>
          <w:p w14:paraId="5714EEB3" w14:textId="77777777" w:rsidR="00964D04" w:rsidRPr="00865050" w:rsidRDefault="00964D04" w:rsidP="001E494E">
            <w:pPr>
              <w:autoSpaceDE w:val="0"/>
              <w:autoSpaceDN w:val="0"/>
              <w:adjustRightInd w:val="0"/>
              <w:spacing w:after="0" w:line="240" w:lineRule="auto"/>
              <w:jc w:val="both"/>
              <w:rPr>
                <w:rFonts w:cstheme="minorHAnsi"/>
                <w:lang w:val="nl-BE"/>
              </w:rPr>
            </w:pPr>
          </w:p>
          <w:p w14:paraId="5916390B" w14:textId="77777777" w:rsidR="00964D04" w:rsidRPr="00865050" w:rsidRDefault="00964D04" w:rsidP="001E494E">
            <w:pPr>
              <w:autoSpaceDE w:val="0"/>
              <w:autoSpaceDN w:val="0"/>
              <w:adjustRightInd w:val="0"/>
              <w:spacing w:after="0" w:line="240" w:lineRule="auto"/>
              <w:jc w:val="both"/>
              <w:rPr>
                <w:rFonts w:cstheme="minorHAnsi"/>
                <w:lang w:val="nl-BE"/>
              </w:rPr>
            </w:pPr>
            <w:r w:rsidRPr="00865050">
              <w:rPr>
                <w:rFonts w:cstheme="minorHAnsi"/>
                <w:lang w:val="nl-BE"/>
              </w:rPr>
              <w:t>Dit amendement brengt de Franse en Nederlandse versie</w:t>
            </w:r>
          </w:p>
          <w:p w14:paraId="44974A0A" w14:textId="77777777" w:rsidR="00964D04" w:rsidRPr="00865050" w:rsidRDefault="00964D04" w:rsidP="001E494E">
            <w:pPr>
              <w:spacing w:after="0" w:line="240" w:lineRule="auto"/>
              <w:jc w:val="both"/>
              <w:rPr>
                <w:rFonts w:cstheme="minorHAnsi"/>
                <w:lang w:val="nl-BE"/>
              </w:rPr>
            </w:pPr>
            <w:r w:rsidRPr="00865050">
              <w:rPr>
                <w:rFonts w:cstheme="minorHAnsi"/>
                <w:lang w:val="nl-BE"/>
              </w:rPr>
              <w:t>op één lijn door de Franse tekst te verbeteren.</w:t>
            </w:r>
          </w:p>
        </w:tc>
        <w:tc>
          <w:tcPr>
            <w:tcW w:w="5953" w:type="dxa"/>
            <w:shd w:val="clear" w:color="auto" w:fill="auto"/>
          </w:tcPr>
          <w:p w14:paraId="7B0042D0" w14:textId="77777777" w:rsidR="00964D04" w:rsidRPr="00865050" w:rsidRDefault="00964D04" w:rsidP="001E494E">
            <w:pPr>
              <w:autoSpaceDE w:val="0"/>
              <w:autoSpaceDN w:val="0"/>
              <w:adjustRightInd w:val="0"/>
              <w:spacing w:after="0" w:line="240" w:lineRule="auto"/>
              <w:jc w:val="both"/>
              <w:rPr>
                <w:rFonts w:cstheme="minorHAnsi"/>
                <w:bCs/>
                <w:lang w:val="fr-FR"/>
              </w:rPr>
            </w:pPr>
            <w:r w:rsidRPr="00865050">
              <w:rPr>
                <w:rFonts w:cstheme="minorHAnsi"/>
                <w:bCs/>
                <w:lang w:val="fr-FR"/>
              </w:rPr>
              <w:t xml:space="preserve">Dans l’article </w:t>
            </w:r>
            <w:proofErr w:type="gramStart"/>
            <w:r w:rsidRPr="00865050">
              <w:rPr>
                <w:rFonts w:cstheme="minorHAnsi"/>
                <w:bCs/>
                <w:lang w:val="fr-FR"/>
              </w:rPr>
              <w:t>16:</w:t>
            </w:r>
            <w:proofErr w:type="gramEnd"/>
            <w:r w:rsidRPr="00865050">
              <w:rPr>
                <w:rFonts w:cstheme="minorHAnsi"/>
                <w:bCs/>
                <w:lang w:val="fr-FR"/>
              </w:rPr>
              <w:t>26, apporter les modifications suivantes:</w:t>
            </w:r>
          </w:p>
          <w:p w14:paraId="541015F4" w14:textId="77777777" w:rsidR="00964D04" w:rsidRPr="00865050" w:rsidRDefault="00964D04" w:rsidP="001E494E">
            <w:pPr>
              <w:autoSpaceDE w:val="0"/>
              <w:autoSpaceDN w:val="0"/>
              <w:adjustRightInd w:val="0"/>
              <w:spacing w:after="0" w:line="240" w:lineRule="auto"/>
              <w:jc w:val="both"/>
              <w:rPr>
                <w:rFonts w:cstheme="minorHAnsi"/>
                <w:bCs/>
                <w:lang w:val="fr-FR"/>
              </w:rPr>
            </w:pPr>
          </w:p>
          <w:p w14:paraId="08271D2B" w14:textId="77777777" w:rsidR="00964D04" w:rsidRPr="00865050" w:rsidRDefault="00964D04" w:rsidP="001E494E">
            <w:pPr>
              <w:autoSpaceDE w:val="0"/>
              <w:autoSpaceDN w:val="0"/>
              <w:adjustRightInd w:val="0"/>
              <w:spacing w:after="0" w:line="240" w:lineRule="auto"/>
              <w:jc w:val="both"/>
              <w:rPr>
                <w:rFonts w:cstheme="minorHAnsi"/>
                <w:bCs/>
                <w:lang w:val="fr-FR"/>
              </w:rPr>
            </w:pPr>
            <w:r w:rsidRPr="00865050">
              <w:rPr>
                <w:rFonts w:cstheme="minorHAnsi"/>
                <w:bCs/>
                <w:lang w:val="fr-FR"/>
              </w:rPr>
              <w:t>1° à l’alinéa 1</w:t>
            </w:r>
            <w:proofErr w:type="gramStart"/>
            <w:r w:rsidRPr="00865050">
              <w:rPr>
                <w:rFonts w:cstheme="minorHAnsi"/>
                <w:bCs/>
                <w:lang w:val="fr-FR"/>
              </w:rPr>
              <w:t>er ,</w:t>
            </w:r>
            <w:proofErr w:type="gramEnd"/>
            <w:r w:rsidRPr="00865050">
              <w:rPr>
                <w:rFonts w:cstheme="minorHAnsi"/>
                <w:bCs/>
                <w:lang w:val="fr-FR"/>
              </w:rPr>
              <w:t xml:space="preserve"> insérer le mot </w:t>
            </w:r>
            <w:r w:rsidRPr="00865050">
              <w:rPr>
                <w:rFonts w:cstheme="minorHAnsi"/>
                <w:iCs/>
                <w:lang w:val="fr-FR"/>
              </w:rPr>
              <w:t xml:space="preserve">“officielle” </w:t>
            </w:r>
            <w:r w:rsidRPr="00865050">
              <w:rPr>
                <w:rFonts w:cstheme="minorHAnsi"/>
                <w:bCs/>
                <w:lang w:val="fr-FR"/>
              </w:rPr>
              <w:t xml:space="preserve">entre les mots </w:t>
            </w:r>
            <w:r w:rsidRPr="00865050">
              <w:rPr>
                <w:rFonts w:cstheme="minorHAnsi"/>
                <w:lang w:val="fr-FR"/>
              </w:rPr>
              <w:t xml:space="preserve">“par notification” </w:t>
            </w:r>
            <w:r w:rsidRPr="00865050">
              <w:rPr>
                <w:rFonts w:cstheme="minorHAnsi"/>
                <w:bCs/>
                <w:lang w:val="fr-FR"/>
              </w:rPr>
              <w:t xml:space="preserve">et les mots </w:t>
            </w:r>
            <w:r w:rsidRPr="00865050">
              <w:rPr>
                <w:rFonts w:cstheme="minorHAnsi"/>
                <w:lang w:val="fr-FR"/>
              </w:rPr>
              <w:t xml:space="preserve">“à la société” </w:t>
            </w:r>
            <w:r w:rsidRPr="00865050">
              <w:rPr>
                <w:rFonts w:cstheme="minorHAnsi"/>
                <w:bCs/>
                <w:lang w:val="fr-FR"/>
              </w:rPr>
              <w:t xml:space="preserve">et insérer le mot </w:t>
            </w:r>
            <w:r w:rsidRPr="00865050">
              <w:rPr>
                <w:rFonts w:cstheme="minorHAnsi"/>
                <w:iCs/>
                <w:lang w:val="fr-FR"/>
              </w:rPr>
              <w:t xml:space="preserve">“officielle” </w:t>
            </w:r>
            <w:r w:rsidRPr="00865050">
              <w:rPr>
                <w:rFonts w:cstheme="minorHAnsi"/>
                <w:bCs/>
                <w:lang w:val="fr-FR"/>
              </w:rPr>
              <w:t xml:space="preserve">entre les mots </w:t>
            </w:r>
            <w:r w:rsidRPr="00865050">
              <w:rPr>
                <w:rFonts w:cstheme="minorHAnsi"/>
                <w:lang w:val="fr-FR"/>
              </w:rPr>
              <w:t xml:space="preserve">“La notification” </w:t>
            </w:r>
            <w:r w:rsidRPr="00865050">
              <w:rPr>
                <w:rFonts w:cstheme="minorHAnsi"/>
                <w:bCs/>
                <w:lang w:val="fr-FR"/>
              </w:rPr>
              <w:t xml:space="preserve">et les mots </w:t>
            </w:r>
            <w:r w:rsidRPr="00865050">
              <w:rPr>
                <w:rFonts w:cstheme="minorHAnsi"/>
                <w:lang w:val="fr-FR"/>
              </w:rPr>
              <w:t>“est publiée”</w:t>
            </w:r>
            <w:r w:rsidRPr="00865050">
              <w:rPr>
                <w:rFonts w:cstheme="minorHAnsi"/>
                <w:bCs/>
                <w:lang w:val="fr-FR"/>
              </w:rPr>
              <w:t>;</w:t>
            </w:r>
          </w:p>
          <w:p w14:paraId="5F96A0D5" w14:textId="77777777" w:rsidR="00964D04" w:rsidRPr="00865050" w:rsidRDefault="00964D04" w:rsidP="001E494E">
            <w:pPr>
              <w:autoSpaceDE w:val="0"/>
              <w:autoSpaceDN w:val="0"/>
              <w:adjustRightInd w:val="0"/>
              <w:spacing w:after="0" w:line="240" w:lineRule="auto"/>
              <w:jc w:val="both"/>
              <w:rPr>
                <w:rFonts w:cstheme="minorHAnsi"/>
                <w:bCs/>
                <w:lang w:val="fr-FR"/>
              </w:rPr>
            </w:pPr>
          </w:p>
          <w:p w14:paraId="30A4FDA5" w14:textId="77777777" w:rsidR="00964D04" w:rsidRPr="00865050" w:rsidRDefault="00964D04" w:rsidP="001E494E">
            <w:pPr>
              <w:autoSpaceDE w:val="0"/>
              <w:autoSpaceDN w:val="0"/>
              <w:adjustRightInd w:val="0"/>
              <w:spacing w:after="0" w:line="240" w:lineRule="auto"/>
              <w:jc w:val="both"/>
              <w:rPr>
                <w:rFonts w:cstheme="minorHAnsi"/>
                <w:lang w:val="fr-FR"/>
              </w:rPr>
            </w:pPr>
            <w:r w:rsidRPr="00865050">
              <w:rPr>
                <w:rFonts w:cstheme="minorHAnsi"/>
                <w:bCs/>
                <w:lang w:val="fr-FR"/>
              </w:rPr>
              <w:t xml:space="preserve">2° à alinéa 2, proposé, insérer le mot </w:t>
            </w:r>
            <w:r w:rsidRPr="00865050">
              <w:rPr>
                <w:rFonts w:cstheme="minorHAnsi"/>
                <w:iCs/>
                <w:lang w:val="fr-FR"/>
              </w:rPr>
              <w:t xml:space="preserve">“le” </w:t>
            </w:r>
            <w:r w:rsidRPr="00865050">
              <w:rPr>
                <w:rFonts w:cstheme="minorHAnsi"/>
                <w:bCs/>
                <w:lang w:val="fr-FR"/>
              </w:rPr>
              <w:t xml:space="preserve">entre les mots </w:t>
            </w:r>
            <w:r w:rsidRPr="00865050">
              <w:rPr>
                <w:rFonts w:cstheme="minorHAnsi"/>
                <w:lang w:val="fr-FR"/>
              </w:rPr>
              <w:t xml:space="preserve">“qu’après” </w:t>
            </w:r>
            <w:r w:rsidRPr="00865050">
              <w:rPr>
                <w:rFonts w:cstheme="minorHAnsi"/>
                <w:bCs/>
                <w:lang w:val="fr-FR"/>
              </w:rPr>
              <w:t xml:space="preserve">et les mots </w:t>
            </w:r>
            <w:r w:rsidRPr="00865050">
              <w:rPr>
                <w:rFonts w:cstheme="minorHAnsi"/>
                <w:lang w:val="fr-FR"/>
              </w:rPr>
              <w:t xml:space="preserve">“retrait de l’opposition” </w:t>
            </w:r>
            <w:r w:rsidRPr="00865050">
              <w:rPr>
                <w:rFonts w:cstheme="minorHAnsi"/>
                <w:bCs/>
                <w:lang w:val="fr-FR"/>
              </w:rPr>
              <w:t xml:space="preserve">et insérer les mots </w:t>
            </w:r>
            <w:r w:rsidRPr="00865050">
              <w:rPr>
                <w:rFonts w:cstheme="minorHAnsi"/>
                <w:iCs/>
                <w:lang w:val="fr-FR"/>
              </w:rPr>
              <w:t xml:space="preserve">“de celle-ci” </w:t>
            </w:r>
            <w:r w:rsidRPr="00865050">
              <w:rPr>
                <w:rFonts w:cstheme="minorHAnsi"/>
                <w:bCs/>
                <w:lang w:val="fr-FR"/>
              </w:rPr>
              <w:t xml:space="preserve">entre les mots </w:t>
            </w:r>
            <w:r w:rsidRPr="00865050">
              <w:rPr>
                <w:rFonts w:cstheme="minorHAnsi"/>
                <w:lang w:val="fr-FR"/>
              </w:rPr>
              <w:t xml:space="preserve">“ou annulation” </w:t>
            </w:r>
            <w:r w:rsidRPr="00865050">
              <w:rPr>
                <w:rFonts w:cstheme="minorHAnsi"/>
                <w:bCs/>
                <w:lang w:val="fr-FR"/>
              </w:rPr>
              <w:t xml:space="preserve">et les mots </w:t>
            </w:r>
            <w:r w:rsidRPr="00865050">
              <w:rPr>
                <w:rFonts w:cstheme="minorHAnsi"/>
                <w:lang w:val="fr-FR"/>
              </w:rPr>
              <w:t>“par une décision”.</w:t>
            </w:r>
          </w:p>
          <w:p w14:paraId="44A37CDB" w14:textId="77777777" w:rsidR="00964D04" w:rsidRPr="00865050" w:rsidRDefault="00964D04" w:rsidP="001E494E">
            <w:pPr>
              <w:autoSpaceDE w:val="0"/>
              <w:autoSpaceDN w:val="0"/>
              <w:adjustRightInd w:val="0"/>
              <w:spacing w:after="0" w:line="240" w:lineRule="auto"/>
              <w:jc w:val="both"/>
              <w:rPr>
                <w:rFonts w:cstheme="minorHAnsi"/>
                <w:lang w:val="fr-FR"/>
              </w:rPr>
            </w:pPr>
          </w:p>
          <w:p w14:paraId="4EF9B633" w14:textId="77777777" w:rsidR="00964D04" w:rsidRPr="00865050" w:rsidRDefault="00964D04" w:rsidP="001E494E">
            <w:pPr>
              <w:autoSpaceDE w:val="0"/>
              <w:autoSpaceDN w:val="0"/>
              <w:adjustRightInd w:val="0"/>
              <w:spacing w:after="0" w:line="240" w:lineRule="auto"/>
              <w:jc w:val="both"/>
              <w:rPr>
                <w:rFonts w:cstheme="minorHAnsi"/>
                <w:lang w:val="fr-FR"/>
              </w:rPr>
            </w:pPr>
            <w:r w:rsidRPr="00865050">
              <w:rPr>
                <w:rFonts w:cstheme="minorHAnsi"/>
                <w:lang w:val="fr-FR"/>
              </w:rPr>
              <w:t>JUSTIFICATION</w:t>
            </w:r>
          </w:p>
          <w:p w14:paraId="5CCF97CB" w14:textId="77777777" w:rsidR="00964D04" w:rsidRPr="00865050" w:rsidRDefault="00964D04" w:rsidP="001E494E">
            <w:pPr>
              <w:autoSpaceDE w:val="0"/>
              <w:autoSpaceDN w:val="0"/>
              <w:adjustRightInd w:val="0"/>
              <w:spacing w:after="0" w:line="240" w:lineRule="auto"/>
              <w:jc w:val="both"/>
              <w:rPr>
                <w:rFonts w:cstheme="minorHAnsi"/>
                <w:lang w:val="fr-FR"/>
              </w:rPr>
            </w:pPr>
          </w:p>
          <w:p w14:paraId="22FF3BB6" w14:textId="77777777" w:rsidR="00964D04" w:rsidRPr="00865050" w:rsidRDefault="00964D04" w:rsidP="001E494E">
            <w:pPr>
              <w:autoSpaceDE w:val="0"/>
              <w:autoSpaceDN w:val="0"/>
              <w:adjustRightInd w:val="0"/>
              <w:spacing w:after="0" w:line="240" w:lineRule="auto"/>
              <w:jc w:val="both"/>
              <w:rPr>
                <w:rFonts w:cstheme="minorHAnsi"/>
                <w:lang w:val="fr-FR"/>
              </w:rPr>
            </w:pPr>
            <w:r w:rsidRPr="00865050">
              <w:rPr>
                <w:rFonts w:cstheme="minorHAnsi"/>
                <w:lang w:val="fr-FR"/>
              </w:rPr>
              <w:t>Cet amendement a pour objet de mettre en concordance les versions française et néerlandaise par une amélioration du texte français.</w:t>
            </w:r>
          </w:p>
        </w:tc>
      </w:tr>
    </w:tbl>
    <w:p w14:paraId="58AF9D11" w14:textId="77777777" w:rsidR="001203BA" w:rsidRPr="00140CD8" w:rsidRDefault="001203BA" w:rsidP="001203BA">
      <w:pPr>
        <w:rPr>
          <w:lang w:val="fr-FR"/>
        </w:rPr>
      </w:pPr>
    </w:p>
    <w:p w14:paraId="642977EE" w14:textId="77777777" w:rsidR="00A820D7" w:rsidRPr="00140CD8" w:rsidRDefault="00A820D7">
      <w:pPr>
        <w:rPr>
          <w:lang w:val="fr-FR"/>
        </w:rPr>
      </w:pPr>
    </w:p>
    <w:sectPr w:rsidR="00A820D7" w:rsidRPr="00140CD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30C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93A2B"/>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0CD8"/>
    <w:rsid w:val="00141EB0"/>
    <w:rsid w:val="00142276"/>
    <w:rsid w:val="00145CDB"/>
    <w:rsid w:val="00155DAF"/>
    <w:rsid w:val="001577E9"/>
    <w:rsid w:val="00160A1B"/>
    <w:rsid w:val="00164A72"/>
    <w:rsid w:val="00173563"/>
    <w:rsid w:val="00181A11"/>
    <w:rsid w:val="001849BF"/>
    <w:rsid w:val="00191BAC"/>
    <w:rsid w:val="00193578"/>
    <w:rsid w:val="001A5398"/>
    <w:rsid w:val="001B1B6D"/>
    <w:rsid w:val="001B29CB"/>
    <w:rsid w:val="001B3262"/>
    <w:rsid w:val="001C36B7"/>
    <w:rsid w:val="001D27E0"/>
    <w:rsid w:val="001D5AD6"/>
    <w:rsid w:val="001E494E"/>
    <w:rsid w:val="00210D98"/>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502CB1"/>
    <w:rsid w:val="005133BD"/>
    <w:rsid w:val="00513F84"/>
    <w:rsid w:val="00525185"/>
    <w:rsid w:val="00534740"/>
    <w:rsid w:val="005364B4"/>
    <w:rsid w:val="005415E2"/>
    <w:rsid w:val="0054708F"/>
    <w:rsid w:val="00552D57"/>
    <w:rsid w:val="00556D0E"/>
    <w:rsid w:val="00562DB1"/>
    <w:rsid w:val="00585D82"/>
    <w:rsid w:val="005A3C17"/>
    <w:rsid w:val="005A7179"/>
    <w:rsid w:val="005B25E3"/>
    <w:rsid w:val="005B2F3D"/>
    <w:rsid w:val="005C4198"/>
    <w:rsid w:val="005C7CE3"/>
    <w:rsid w:val="005D02C8"/>
    <w:rsid w:val="005D039B"/>
    <w:rsid w:val="005D1201"/>
    <w:rsid w:val="005E4002"/>
    <w:rsid w:val="005E7872"/>
    <w:rsid w:val="006132F3"/>
    <w:rsid w:val="00621861"/>
    <w:rsid w:val="00631F09"/>
    <w:rsid w:val="0063632B"/>
    <w:rsid w:val="0064095E"/>
    <w:rsid w:val="00645D75"/>
    <w:rsid w:val="00650083"/>
    <w:rsid w:val="00651E0F"/>
    <w:rsid w:val="00657805"/>
    <w:rsid w:val="006602A1"/>
    <w:rsid w:val="0066155A"/>
    <w:rsid w:val="0066738E"/>
    <w:rsid w:val="0068143A"/>
    <w:rsid w:val="00683EAC"/>
    <w:rsid w:val="00686C06"/>
    <w:rsid w:val="006920C9"/>
    <w:rsid w:val="006A735D"/>
    <w:rsid w:val="006B2AA7"/>
    <w:rsid w:val="006C529C"/>
    <w:rsid w:val="006C79DF"/>
    <w:rsid w:val="006D501B"/>
    <w:rsid w:val="006D6DC3"/>
    <w:rsid w:val="0070142C"/>
    <w:rsid w:val="00701DD9"/>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65050"/>
    <w:rsid w:val="00871F22"/>
    <w:rsid w:val="00887B0C"/>
    <w:rsid w:val="008A17D9"/>
    <w:rsid w:val="008B2189"/>
    <w:rsid w:val="008D71F7"/>
    <w:rsid w:val="008E164C"/>
    <w:rsid w:val="008E7328"/>
    <w:rsid w:val="00905B7A"/>
    <w:rsid w:val="00913896"/>
    <w:rsid w:val="00913FE2"/>
    <w:rsid w:val="0091557F"/>
    <w:rsid w:val="00916E5F"/>
    <w:rsid w:val="009172D4"/>
    <w:rsid w:val="0093030C"/>
    <w:rsid w:val="00931894"/>
    <w:rsid w:val="00935E60"/>
    <w:rsid w:val="00943313"/>
    <w:rsid w:val="009460AE"/>
    <w:rsid w:val="009627E9"/>
    <w:rsid w:val="0096303B"/>
    <w:rsid w:val="00964D04"/>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2662"/>
    <w:rsid w:val="00B6333A"/>
    <w:rsid w:val="00B779CF"/>
    <w:rsid w:val="00B9162B"/>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52F6F"/>
    <w:rsid w:val="00C5777F"/>
    <w:rsid w:val="00C65CB4"/>
    <w:rsid w:val="00C72E4C"/>
    <w:rsid w:val="00C80883"/>
    <w:rsid w:val="00C80921"/>
    <w:rsid w:val="00C86467"/>
    <w:rsid w:val="00C86CC5"/>
    <w:rsid w:val="00C91A38"/>
    <w:rsid w:val="00C9498E"/>
    <w:rsid w:val="00CA1557"/>
    <w:rsid w:val="00CA5454"/>
    <w:rsid w:val="00CB08CB"/>
    <w:rsid w:val="00CB210A"/>
    <w:rsid w:val="00CB6FFB"/>
    <w:rsid w:val="00CC6422"/>
    <w:rsid w:val="00CD5938"/>
    <w:rsid w:val="00CF7AC1"/>
    <w:rsid w:val="00D22227"/>
    <w:rsid w:val="00D42D9B"/>
    <w:rsid w:val="00D46773"/>
    <w:rsid w:val="00D637E1"/>
    <w:rsid w:val="00D66D82"/>
    <w:rsid w:val="00D751E3"/>
    <w:rsid w:val="00D76CDC"/>
    <w:rsid w:val="00D8405B"/>
    <w:rsid w:val="00D931FB"/>
    <w:rsid w:val="00D96002"/>
    <w:rsid w:val="00DA0AF3"/>
    <w:rsid w:val="00DB5C97"/>
    <w:rsid w:val="00DD79BB"/>
    <w:rsid w:val="00DE1FCC"/>
    <w:rsid w:val="00E15370"/>
    <w:rsid w:val="00E15CFE"/>
    <w:rsid w:val="00E21F8D"/>
    <w:rsid w:val="00E26DE4"/>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45F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D5938"/>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CD5938"/>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2695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2019-11-08T11:06:00Z</dcterms:created>
  <dcterms:modified xsi:type="dcterms:W3CDTF">2022-02-07T15:09:00Z</dcterms:modified>
</cp:coreProperties>
</file>