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06"/>
        <w:gridCol w:w="4961"/>
        <w:gridCol w:w="992"/>
      </w:tblGrid>
      <w:tr w:rsidR="00C51D69" w:rsidRPr="00C51D69" w14:paraId="3FE300CA" w14:textId="77777777" w:rsidTr="00A06E06">
        <w:tc>
          <w:tcPr>
            <w:tcW w:w="12989" w:type="dxa"/>
            <w:gridSpan w:val="3"/>
          </w:tcPr>
          <w:p w14:paraId="78920A14" w14:textId="77777777" w:rsidR="00C51D69" w:rsidRDefault="00C51D69" w:rsidP="004D5D72">
            <w:pPr>
              <w:rPr>
                <w:b/>
                <w:sz w:val="32"/>
                <w:szCs w:val="32"/>
                <w:lang w:val="nl-BE"/>
              </w:rPr>
            </w:pPr>
            <w:r>
              <w:rPr>
                <w:b/>
                <w:sz w:val="32"/>
                <w:szCs w:val="32"/>
                <w:lang w:val="nl-BE"/>
              </w:rPr>
              <w:t>Titel 7. – O</w:t>
            </w:r>
            <w:r w:rsidRPr="00C51D69">
              <w:rPr>
                <w:b/>
                <w:sz w:val="32"/>
                <w:szCs w:val="32"/>
                <w:lang w:val="nl-BE"/>
              </w:rPr>
              <w:t>ntbinding en vereffening.</w:t>
            </w:r>
          </w:p>
        </w:tc>
        <w:tc>
          <w:tcPr>
            <w:tcW w:w="992" w:type="dxa"/>
            <w:shd w:val="clear" w:color="auto" w:fill="auto"/>
          </w:tcPr>
          <w:p w14:paraId="15999482" w14:textId="77777777" w:rsidR="00C51D69" w:rsidRPr="007B17CA" w:rsidRDefault="00C51D69" w:rsidP="004D5D72">
            <w:pPr>
              <w:jc w:val="center"/>
              <w:rPr>
                <w:rFonts w:ascii="Cambria" w:eastAsia="Calibri" w:hAnsi="Cambria" w:cs="Times New Roman"/>
                <w:b/>
                <w:bCs/>
                <w:color w:val="4F81BD"/>
                <w:sz w:val="32"/>
                <w:szCs w:val="26"/>
                <w:lang w:val="nl-NL" w:eastAsia="fr-FR"/>
              </w:rPr>
            </w:pPr>
          </w:p>
        </w:tc>
      </w:tr>
      <w:tr w:rsidR="001203BA" w:rsidRPr="00C51D69" w14:paraId="499F7F3D" w14:textId="77777777" w:rsidTr="00A06E06">
        <w:tc>
          <w:tcPr>
            <w:tcW w:w="2122" w:type="dxa"/>
          </w:tcPr>
          <w:p w14:paraId="02A21CC1" w14:textId="77777777" w:rsidR="001203BA" w:rsidRPr="00B07AC9" w:rsidRDefault="00D102E1" w:rsidP="004D5D72">
            <w:pPr>
              <w:rPr>
                <w:b/>
                <w:sz w:val="32"/>
                <w:szCs w:val="32"/>
                <w:lang w:val="nl-BE"/>
              </w:rPr>
            </w:pPr>
            <w:r>
              <w:rPr>
                <w:b/>
                <w:sz w:val="32"/>
                <w:szCs w:val="32"/>
                <w:lang w:val="nl-BE"/>
              </w:rPr>
              <w:t>ARTIKEL 16:28</w:t>
            </w:r>
          </w:p>
        </w:tc>
        <w:tc>
          <w:tcPr>
            <w:tcW w:w="11859" w:type="dxa"/>
            <w:gridSpan w:val="3"/>
            <w:shd w:val="clear" w:color="auto" w:fill="auto"/>
          </w:tcPr>
          <w:p w14:paraId="2035C3A6" w14:textId="77777777" w:rsidR="001203BA" w:rsidRPr="007B17CA" w:rsidRDefault="001203BA" w:rsidP="004D5D72">
            <w:pPr>
              <w:jc w:val="center"/>
              <w:rPr>
                <w:rFonts w:ascii="Cambria" w:eastAsia="Calibri" w:hAnsi="Cambria" w:cs="Times New Roman"/>
                <w:b/>
                <w:bCs/>
                <w:color w:val="4F81BD"/>
                <w:sz w:val="32"/>
                <w:szCs w:val="26"/>
                <w:lang w:val="nl-NL" w:eastAsia="fr-FR"/>
              </w:rPr>
            </w:pPr>
          </w:p>
        </w:tc>
      </w:tr>
      <w:tr w:rsidR="00AF0721" w:rsidRPr="00C51D69" w14:paraId="7761154B" w14:textId="77777777" w:rsidTr="00A06E06">
        <w:tc>
          <w:tcPr>
            <w:tcW w:w="2122" w:type="dxa"/>
          </w:tcPr>
          <w:p w14:paraId="06E12007" w14:textId="77777777" w:rsidR="00AF0721" w:rsidRDefault="00AF0721" w:rsidP="004D5D72">
            <w:pPr>
              <w:rPr>
                <w:b/>
                <w:sz w:val="32"/>
                <w:szCs w:val="32"/>
                <w:lang w:val="nl-BE"/>
              </w:rPr>
            </w:pPr>
          </w:p>
        </w:tc>
        <w:tc>
          <w:tcPr>
            <w:tcW w:w="11859" w:type="dxa"/>
            <w:gridSpan w:val="3"/>
            <w:shd w:val="clear" w:color="auto" w:fill="auto"/>
          </w:tcPr>
          <w:p w14:paraId="0596705B" w14:textId="77777777" w:rsidR="00AF0721" w:rsidRPr="007B17CA" w:rsidRDefault="00AF0721" w:rsidP="004D5D72">
            <w:pPr>
              <w:jc w:val="center"/>
              <w:rPr>
                <w:rFonts w:ascii="Cambria" w:eastAsia="Calibri" w:hAnsi="Cambria" w:cs="Times New Roman"/>
                <w:b/>
                <w:bCs/>
                <w:color w:val="4F81BD"/>
                <w:sz w:val="32"/>
                <w:szCs w:val="26"/>
                <w:lang w:val="nl-NL" w:eastAsia="fr-FR"/>
              </w:rPr>
            </w:pPr>
          </w:p>
        </w:tc>
      </w:tr>
      <w:tr w:rsidR="00D102E1" w:rsidRPr="00A06E06" w14:paraId="51F63EC0" w14:textId="77777777" w:rsidTr="00A06E06">
        <w:trPr>
          <w:trHeight w:val="3547"/>
        </w:trPr>
        <w:tc>
          <w:tcPr>
            <w:tcW w:w="2122" w:type="dxa"/>
          </w:tcPr>
          <w:p w14:paraId="627ACDF6" w14:textId="77777777" w:rsidR="00D102E1" w:rsidRDefault="00D102E1" w:rsidP="004D5D72">
            <w:pPr>
              <w:spacing w:after="0" w:line="240" w:lineRule="auto"/>
              <w:rPr>
                <w:rFonts w:cs="Calibri"/>
                <w:lang w:val="nl-BE"/>
              </w:rPr>
            </w:pPr>
            <w:r>
              <w:rPr>
                <w:rFonts w:cs="Calibri"/>
                <w:lang w:val="nl-BE"/>
              </w:rPr>
              <w:t>WVV</w:t>
            </w:r>
          </w:p>
        </w:tc>
        <w:tc>
          <w:tcPr>
            <w:tcW w:w="5906" w:type="dxa"/>
            <w:shd w:val="clear" w:color="auto" w:fill="auto"/>
          </w:tcPr>
          <w:p w14:paraId="1C3C4FFA" w14:textId="77777777" w:rsidR="00D102E1" w:rsidRPr="00C965D0" w:rsidRDefault="00D102E1" w:rsidP="004D5D72">
            <w:pPr>
              <w:spacing w:after="0" w:line="240" w:lineRule="auto"/>
              <w:jc w:val="both"/>
              <w:rPr>
                <w:rFonts w:cs="Calibri"/>
                <w:lang w:val="nl-BE"/>
              </w:rPr>
            </w:pPr>
            <w:r w:rsidRPr="00C965D0">
              <w:rPr>
                <w:rFonts w:cs="Calibri"/>
                <w:lang w:val="nl-BE"/>
              </w:rPr>
              <w:t>Op vraag van elke belanghebbende of van het openbaar ministerie spreekt de ondernemingsrechtbank de ontbinding van de SCE uit die haar statutaire zetel in België heeft indien haar hoofdbestuur er niet is gevestigd.</w:t>
            </w:r>
          </w:p>
          <w:p w14:paraId="50D4FC17" w14:textId="77777777" w:rsidR="00D102E1" w:rsidRDefault="00D102E1" w:rsidP="004D5D72">
            <w:pPr>
              <w:spacing w:after="0" w:line="240" w:lineRule="auto"/>
              <w:jc w:val="both"/>
              <w:rPr>
                <w:rFonts w:cs="Calibri"/>
                <w:lang w:val="nl-BE"/>
              </w:rPr>
            </w:pPr>
          </w:p>
          <w:p w14:paraId="15D7E922" w14:textId="77777777" w:rsidR="00D102E1" w:rsidRDefault="00D102E1" w:rsidP="004D5D72">
            <w:pPr>
              <w:spacing w:after="0" w:line="240" w:lineRule="auto"/>
              <w:jc w:val="both"/>
              <w:rPr>
                <w:rFonts w:cs="Calibri"/>
                <w:lang w:val="nl-BE"/>
              </w:rPr>
            </w:pPr>
            <w:r w:rsidRPr="00C965D0">
              <w:rPr>
                <w:rFonts w:cs="Calibri"/>
                <w:lang w:val="nl-BE"/>
              </w:rPr>
              <w:t>Alvorens de ontbinding uit te spreken, kan de rechtbank de SCE in de gelegenheid stellen binnen een termijn haar situatie te regulariseren overeenkomstig artikel 73, lid 1, van verordening (EG) nr. 1435/2003</w:t>
            </w:r>
            <w:r>
              <w:rPr>
                <w:rFonts w:cs="Calibri"/>
                <w:lang w:val="nl-BE"/>
              </w:rPr>
              <w:t>.</w:t>
            </w:r>
          </w:p>
          <w:p w14:paraId="17176A9C" w14:textId="77777777" w:rsidR="00D102E1" w:rsidRDefault="00D102E1" w:rsidP="004D5D72">
            <w:pPr>
              <w:spacing w:after="0" w:line="240" w:lineRule="auto"/>
              <w:jc w:val="both"/>
              <w:rPr>
                <w:rFonts w:cs="Calibri"/>
                <w:lang w:val="nl-BE"/>
              </w:rPr>
            </w:pPr>
          </w:p>
          <w:p w14:paraId="7861B16B" w14:textId="77777777" w:rsidR="00D102E1" w:rsidRPr="00C965D0" w:rsidRDefault="00D102E1" w:rsidP="004D5D72">
            <w:pPr>
              <w:spacing w:after="0" w:line="240" w:lineRule="auto"/>
              <w:jc w:val="both"/>
              <w:rPr>
                <w:rFonts w:cs="Calibri"/>
                <w:lang w:val="nl-BE"/>
              </w:rPr>
            </w:pPr>
            <w:r w:rsidRPr="00C965D0">
              <w:rPr>
                <w:rFonts w:cs="Calibri"/>
                <w:lang w:val="nl-BE"/>
              </w:rPr>
              <w:t>Overeenkomstig artikel 73, lid 4, van verordening (EG) nr. 1435/2003, is deze beslissing niet vatbaar voor voorlopige tenuitvoerlegging</w:t>
            </w:r>
            <w:r>
              <w:rPr>
                <w:rFonts w:cs="Calibri"/>
                <w:lang w:val="nl-BE"/>
              </w:rPr>
              <w:t>.</w:t>
            </w:r>
          </w:p>
        </w:tc>
        <w:tc>
          <w:tcPr>
            <w:tcW w:w="5953" w:type="dxa"/>
            <w:gridSpan w:val="2"/>
            <w:shd w:val="clear" w:color="auto" w:fill="auto"/>
          </w:tcPr>
          <w:p w14:paraId="56E05267" w14:textId="77777777" w:rsidR="00D102E1" w:rsidRDefault="00D102E1" w:rsidP="004D5D72">
            <w:pPr>
              <w:spacing w:after="0" w:line="240" w:lineRule="auto"/>
              <w:jc w:val="both"/>
              <w:rPr>
                <w:rFonts w:cs="Calibri"/>
                <w:lang w:val="fr-FR"/>
              </w:rPr>
            </w:pPr>
            <w:r w:rsidRPr="00C965D0">
              <w:rPr>
                <w:rFonts w:cs="Calibri"/>
                <w:lang w:val="fr-FR"/>
              </w:rPr>
              <w:t>À la demande de tout intéressé ou du ministère public, le tribunal de l’entreprise prononce la dissolution de la SCE qui a son siège statutaire en Belgique si son administration centrale n'y est pas située</w:t>
            </w:r>
            <w:r>
              <w:rPr>
                <w:rFonts w:cs="Calibri"/>
                <w:lang w:val="fr-FR"/>
              </w:rPr>
              <w:t>.</w:t>
            </w:r>
          </w:p>
          <w:p w14:paraId="76C60F0F" w14:textId="77777777" w:rsidR="00D102E1" w:rsidRDefault="00D102E1" w:rsidP="004D5D72">
            <w:pPr>
              <w:spacing w:after="0" w:line="240" w:lineRule="auto"/>
              <w:jc w:val="both"/>
              <w:rPr>
                <w:rFonts w:cs="Calibri"/>
                <w:lang w:val="fr-FR"/>
              </w:rPr>
            </w:pPr>
          </w:p>
          <w:p w14:paraId="273CA3E4" w14:textId="77777777" w:rsidR="00D102E1" w:rsidRDefault="00D102E1" w:rsidP="004D5D72">
            <w:pPr>
              <w:spacing w:after="0" w:line="240" w:lineRule="auto"/>
              <w:jc w:val="both"/>
              <w:rPr>
                <w:rFonts w:cs="Calibri"/>
                <w:lang w:val="fr-FR"/>
              </w:rPr>
            </w:pPr>
            <w:r w:rsidRPr="00C965D0">
              <w:rPr>
                <w:rFonts w:cs="Calibri"/>
                <w:lang w:val="fr-FR"/>
              </w:rPr>
              <w:t>Avant de prononcer la dissolution, le tribunal peut accorder à la SCE un délai pour régulariser sa situation conformément à l'article 73, § 1</w:t>
            </w:r>
            <w:r w:rsidRPr="00C965D0">
              <w:rPr>
                <w:rFonts w:cs="Calibri"/>
                <w:vertAlign w:val="superscript"/>
                <w:lang w:val="fr-FR"/>
              </w:rPr>
              <w:t>er</w:t>
            </w:r>
            <w:r w:rsidRPr="00C965D0">
              <w:rPr>
                <w:rFonts w:cs="Calibri"/>
                <w:lang w:val="fr-FR"/>
              </w:rPr>
              <w:t>, du règlement (CE) n° 1435/2003</w:t>
            </w:r>
            <w:r>
              <w:rPr>
                <w:rFonts w:cs="Calibri"/>
                <w:lang w:val="fr-FR"/>
              </w:rPr>
              <w:t>.</w:t>
            </w:r>
          </w:p>
          <w:p w14:paraId="5C683BF7" w14:textId="77777777" w:rsidR="00D102E1" w:rsidRDefault="00D102E1" w:rsidP="004D5D72">
            <w:pPr>
              <w:spacing w:after="0" w:line="240" w:lineRule="auto"/>
              <w:jc w:val="both"/>
              <w:rPr>
                <w:rFonts w:cs="Calibri"/>
                <w:lang w:val="fr-FR"/>
              </w:rPr>
            </w:pPr>
          </w:p>
          <w:p w14:paraId="25D16047" w14:textId="77777777" w:rsidR="00D102E1" w:rsidRDefault="00D102E1" w:rsidP="004D5D72">
            <w:pPr>
              <w:spacing w:after="0" w:line="240" w:lineRule="auto"/>
              <w:jc w:val="both"/>
              <w:rPr>
                <w:rFonts w:cs="Calibri"/>
                <w:lang w:val="fr-FR"/>
              </w:rPr>
            </w:pPr>
            <w:r w:rsidRPr="00C965D0">
              <w:rPr>
                <w:rFonts w:cs="Calibri"/>
                <w:lang w:val="fr-FR"/>
              </w:rPr>
              <w:t>Conformément à l’article 73, § 4, d</w:t>
            </w:r>
            <w:r w:rsidR="00482D71">
              <w:rPr>
                <w:rFonts w:cs="Calibri"/>
                <w:lang w:val="fr-FR"/>
              </w:rPr>
              <w:t xml:space="preserve">u règlement (CE) n° 1435/2003, </w:t>
            </w:r>
            <w:r w:rsidRPr="00C965D0">
              <w:rPr>
                <w:rFonts w:cs="Calibri"/>
                <w:lang w:val="fr-FR"/>
              </w:rPr>
              <w:t>cette décision n'est pas susceptible d'exécution provisoire</w:t>
            </w:r>
            <w:r>
              <w:rPr>
                <w:rFonts w:cs="Calibri"/>
                <w:lang w:val="fr-FR"/>
              </w:rPr>
              <w:t>.</w:t>
            </w:r>
          </w:p>
          <w:p w14:paraId="6C674CB2" w14:textId="77777777" w:rsidR="00D102E1" w:rsidRPr="00BE221B" w:rsidRDefault="00D102E1" w:rsidP="004D5D72">
            <w:pPr>
              <w:spacing w:after="0" w:line="240" w:lineRule="auto"/>
              <w:jc w:val="both"/>
              <w:rPr>
                <w:rFonts w:cs="Calibri"/>
                <w:lang w:val="fr-BE"/>
              </w:rPr>
            </w:pPr>
          </w:p>
        </w:tc>
      </w:tr>
      <w:tr w:rsidR="00482D71" w:rsidRPr="00A06E06" w14:paraId="7DAB4ADD" w14:textId="77777777" w:rsidTr="00A06E06">
        <w:trPr>
          <w:trHeight w:val="3547"/>
        </w:trPr>
        <w:tc>
          <w:tcPr>
            <w:tcW w:w="2122" w:type="dxa"/>
          </w:tcPr>
          <w:p w14:paraId="6ED22FC7" w14:textId="77777777" w:rsidR="00482D71" w:rsidRPr="009A6D95" w:rsidRDefault="00482D71" w:rsidP="00CC40A6">
            <w:pPr>
              <w:spacing w:after="0"/>
            </w:pPr>
            <w:proofErr w:type="spellStart"/>
            <w:r w:rsidRPr="009A6D95">
              <w:t>Ontwerp</w:t>
            </w:r>
            <w:bookmarkStart w:id="0" w:name="_GoBack"/>
            <w:bookmarkEnd w:id="0"/>
            <w:proofErr w:type="spellEnd"/>
          </w:p>
        </w:tc>
        <w:tc>
          <w:tcPr>
            <w:tcW w:w="5906" w:type="dxa"/>
            <w:shd w:val="clear" w:color="auto" w:fill="auto"/>
          </w:tcPr>
          <w:p w14:paraId="107FD1F1" w14:textId="77777777" w:rsidR="00482D71" w:rsidRPr="009A6D95" w:rsidRDefault="00482D71" w:rsidP="00CC40A6">
            <w:pPr>
              <w:spacing w:after="0"/>
            </w:pPr>
            <w:proofErr w:type="spellStart"/>
            <w:r w:rsidRPr="009A6D95">
              <w:t>Geen</w:t>
            </w:r>
            <w:proofErr w:type="spellEnd"/>
            <w:r w:rsidRPr="009A6D95">
              <w:t xml:space="preserve"> </w:t>
            </w:r>
            <w:proofErr w:type="spellStart"/>
            <w:r w:rsidRPr="009A6D95">
              <w:t>artikel</w:t>
            </w:r>
            <w:proofErr w:type="spellEnd"/>
            <w:r>
              <w:t>.</w:t>
            </w:r>
          </w:p>
        </w:tc>
        <w:tc>
          <w:tcPr>
            <w:tcW w:w="5953" w:type="dxa"/>
            <w:gridSpan w:val="2"/>
            <w:shd w:val="clear" w:color="auto" w:fill="auto"/>
          </w:tcPr>
          <w:p w14:paraId="12A5CCB7" w14:textId="77777777" w:rsidR="00482D71" w:rsidRDefault="00482D71" w:rsidP="00CC40A6">
            <w:pPr>
              <w:spacing w:after="0"/>
            </w:pPr>
            <w:r w:rsidRPr="009A6D95">
              <w:t xml:space="preserve">Pas </w:t>
            </w:r>
            <w:proofErr w:type="spellStart"/>
            <w:r w:rsidRPr="009A6D95">
              <w:t>d’article</w:t>
            </w:r>
            <w:proofErr w:type="spellEnd"/>
            <w:r>
              <w:t>.</w:t>
            </w:r>
          </w:p>
        </w:tc>
      </w:tr>
      <w:tr w:rsidR="00482D71" w:rsidRPr="00856564" w14:paraId="24ADA90A" w14:textId="77777777" w:rsidTr="00A06E06">
        <w:trPr>
          <w:trHeight w:val="456"/>
        </w:trPr>
        <w:tc>
          <w:tcPr>
            <w:tcW w:w="2122" w:type="dxa"/>
          </w:tcPr>
          <w:p w14:paraId="2F63FDF1" w14:textId="77777777" w:rsidR="00482D71" w:rsidRPr="00856564" w:rsidRDefault="00482D71" w:rsidP="004D5D72">
            <w:pPr>
              <w:spacing w:after="0" w:line="240" w:lineRule="auto"/>
              <w:rPr>
                <w:rFonts w:cs="Calibri"/>
                <w:lang w:val="fr-FR"/>
              </w:rPr>
            </w:pPr>
            <w:proofErr w:type="spellStart"/>
            <w:r>
              <w:rPr>
                <w:rFonts w:cs="Calibri"/>
                <w:lang w:val="fr-FR"/>
              </w:rPr>
              <w:lastRenderedPageBreak/>
              <w:t>Voorontwerp</w:t>
            </w:r>
            <w:proofErr w:type="spellEnd"/>
          </w:p>
        </w:tc>
        <w:tc>
          <w:tcPr>
            <w:tcW w:w="5906" w:type="dxa"/>
            <w:shd w:val="clear" w:color="auto" w:fill="auto"/>
          </w:tcPr>
          <w:p w14:paraId="2A11D18E" w14:textId="77777777" w:rsidR="00482D71" w:rsidRPr="00856564" w:rsidRDefault="00482D71" w:rsidP="004D5D72">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gridSpan w:val="2"/>
            <w:shd w:val="clear" w:color="auto" w:fill="auto"/>
          </w:tcPr>
          <w:p w14:paraId="08A1079C" w14:textId="77777777" w:rsidR="00482D71" w:rsidRPr="00C965D0" w:rsidRDefault="00482D71" w:rsidP="004D5D72">
            <w:pPr>
              <w:spacing w:after="0" w:line="240" w:lineRule="auto"/>
              <w:jc w:val="both"/>
              <w:rPr>
                <w:rFonts w:cs="Calibri"/>
                <w:lang w:val="fr-FR"/>
              </w:rPr>
            </w:pPr>
            <w:r>
              <w:rPr>
                <w:rFonts w:cs="Calibri"/>
                <w:lang w:val="fr-FR"/>
              </w:rPr>
              <w:t>Pas d’article.</w:t>
            </w:r>
          </w:p>
        </w:tc>
      </w:tr>
      <w:tr w:rsidR="00482D71" w:rsidRPr="00A06E06" w14:paraId="5FCA936D" w14:textId="77777777" w:rsidTr="00A06E06">
        <w:trPr>
          <w:trHeight w:val="450"/>
        </w:trPr>
        <w:tc>
          <w:tcPr>
            <w:tcW w:w="2122" w:type="dxa"/>
          </w:tcPr>
          <w:p w14:paraId="353AB568" w14:textId="77777777" w:rsidR="00482D71" w:rsidRPr="009A6D95" w:rsidRDefault="00482D71" w:rsidP="004D5D72">
            <w:pPr>
              <w:spacing w:after="0"/>
            </w:pPr>
            <w:proofErr w:type="spellStart"/>
            <w:r>
              <w:t>MvT</w:t>
            </w:r>
            <w:proofErr w:type="spellEnd"/>
          </w:p>
        </w:tc>
        <w:tc>
          <w:tcPr>
            <w:tcW w:w="5906" w:type="dxa"/>
            <w:shd w:val="clear" w:color="auto" w:fill="auto"/>
          </w:tcPr>
          <w:p w14:paraId="284E2947" w14:textId="77777777" w:rsidR="00482D71" w:rsidRPr="00C51D69" w:rsidRDefault="00482D71" w:rsidP="004D5D72">
            <w:pPr>
              <w:spacing w:after="0"/>
              <w:jc w:val="both"/>
              <w:rPr>
                <w:lang w:val="nl-BE"/>
              </w:rPr>
            </w:pPr>
            <w:r w:rsidRPr="00C51D69">
              <w:rPr>
                <w:lang w:val="nl-BE"/>
              </w:rPr>
              <w:t>Deze bepaling herneemt artikel 1004 van het Wetboek van vennootschappen.</w:t>
            </w:r>
          </w:p>
        </w:tc>
        <w:tc>
          <w:tcPr>
            <w:tcW w:w="5953" w:type="dxa"/>
            <w:gridSpan w:val="2"/>
            <w:shd w:val="clear" w:color="auto" w:fill="auto"/>
          </w:tcPr>
          <w:p w14:paraId="5992621B" w14:textId="77777777" w:rsidR="00482D71" w:rsidRPr="00C51D69" w:rsidRDefault="00482D71" w:rsidP="004D5D72">
            <w:pPr>
              <w:spacing w:after="0"/>
              <w:rPr>
                <w:lang w:val="fr-FR"/>
              </w:rPr>
            </w:pPr>
            <w:r w:rsidRPr="00C51D69">
              <w:rPr>
                <w:lang w:val="fr-FR"/>
              </w:rPr>
              <w:t>Cette disposition reprend l'article 1004 du Code des sociétés.</w:t>
            </w:r>
          </w:p>
        </w:tc>
      </w:tr>
      <w:tr w:rsidR="00482D71" w:rsidRPr="00C51D69" w14:paraId="7BA34881" w14:textId="77777777" w:rsidTr="00A06E06">
        <w:trPr>
          <w:trHeight w:val="450"/>
        </w:trPr>
        <w:tc>
          <w:tcPr>
            <w:tcW w:w="2122" w:type="dxa"/>
          </w:tcPr>
          <w:p w14:paraId="7986B2D5" w14:textId="77777777" w:rsidR="00482D71" w:rsidRDefault="00482D71" w:rsidP="004D5D72">
            <w:pPr>
              <w:spacing w:after="0"/>
            </w:pPr>
            <w:proofErr w:type="spellStart"/>
            <w:r>
              <w:t>RvSt</w:t>
            </w:r>
            <w:proofErr w:type="spellEnd"/>
          </w:p>
        </w:tc>
        <w:tc>
          <w:tcPr>
            <w:tcW w:w="5906" w:type="dxa"/>
            <w:shd w:val="clear" w:color="auto" w:fill="auto"/>
          </w:tcPr>
          <w:p w14:paraId="3F878758" w14:textId="77777777" w:rsidR="00482D71" w:rsidRPr="00C51D69" w:rsidRDefault="00482D71" w:rsidP="004D5D72">
            <w:pPr>
              <w:spacing w:after="0"/>
              <w:rPr>
                <w:lang w:val="nl-BE"/>
              </w:rPr>
            </w:pPr>
            <w:r>
              <w:rPr>
                <w:lang w:val="nl-BE"/>
              </w:rPr>
              <w:t>Geen opmerkingen.</w:t>
            </w:r>
          </w:p>
        </w:tc>
        <w:tc>
          <w:tcPr>
            <w:tcW w:w="5953" w:type="dxa"/>
            <w:gridSpan w:val="2"/>
            <w:shd w:val="clear" w:color="auto" w:fill="auto"/>
          </w:tcPr>
          <w:p w14:paraId="4D601F72" w14:textId="77777777" w:rsidR="00482D71" w:rsidRPr="00C51D69" w:rsidRDefault="00482D71" w:rsidP="004D5D72">
            <w:pPr>
              <w:spacing w:after="0"/>
              <w:rPr>
                <w:lang w:val="fr-FR"/>
              </w:rPr>
            </w:pPr>
            <w:r>
              <w:rPr>
                <w:lang w:val="fr-FR"/>
              </w:rPr>
              <w:t>Pas de remarques.</w:t>
            </w:r>
          </w:p>
        </w:tc>
      </w:tr>
    </w:tbl>
    <w:p w14:paraId="422172E0" w14:textId="77777777" w:rsidR="001203BA" w:rsidRPr="00C51D69" w:rsidRDefault="001203BA" w:rsidP="001203BA">
      <w:pPr>
        <w:rPr>
          <w:lang w:val="fr-FR"/>
        </w:rPr>
      </w:pPr>
    </w:p>
    <w:p w14:paraId="1840D883" w14:textId="77777777" w:rsidR="00A820D7" w:rsidRPr="00C51D69" w:rsidRDefault="00A820D7">
      <w:pPr>
        <w:rPr>
          <w:lang w:val="fr-FR"/>
        </w:rPr>
      </w:pPr>
    </w:p>
    <w:sectPr w:rsidR="00A820D7" w:rsidRPr="00C51D6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93A2B"/>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0D98"/>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153B"/>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82D71"/>
    <w:rsid w:val="00492278"/>
    <w:rsid w:val="00492FE9"/>
    <w:rsid w:val="004A39E3"/>
    <w:rsid w:val="004A7563"/>
    <w:rsid w:val="004C3052"/>
    <w:rsid w:val="004C63AD"/>
    <w:rsid w:val="004D5D72"/>
    <w:rsid w:val="004F6E1D"/>
    <w:rsid w:val="00502CB1"/>
    <w:rsid w:val="005133BD"/>
    <w:rsid w:val="00513F84"/>
    <w:rsid w:val="00525185"/>
    <w:rsid w:val="00534740"/>
    <w:rsid w:val="005364B4"/>
    <w:rsid w:val="005415E2"/>
    <w:rsid w:val="0054708F"/>
    <w:rsid w:val="00552D57"/>
    <w:rsid w:val="00556D0E"/>
    <w:rsid w:val="00562DB1"/>
    <w:rsid w:val="00585D82"/>
    <w:rsid w:val="005A3C17"/>
    <w:rsid w:val="005A7179"/>
    <w:rsid w:val="005B25E3"/>
    <w:rsid w:val="005B2F3D"/>
    <w:rsid w:val="005C4198"/>
    <w:rsid w:val="005C7CE3"/>
    <w:rsid w:val="005D02C8"/>
    <w:rsid w:val="005D039B"/>
    <w:rsid w:val="005D1201"/>
    <w:rsid w:val="005E311E"/>
    <w:rsid w:val="005E4002"/>
    <w:rsid w:val="005E7872"/>
    <w:rsid w:val="006132F3"/>
    <w:rsid w:val="00621861"/>
    <w:rsid w:val="00631F09"/>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A735D"/>
    <w:rsid w:val="006B2AA7"/>
    <w:rsid w:val="006C529C"/>
    <w:rsid w:val="006C79DF"/>
    <w:rsid w:val="006D501B"/>
    <w:rsid w:val="006D6DC3"/>
    <w:rsid w:val="0070142C"/>
    <w:rsid w:val="00701DD9"/>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53C03"/>
    <w:rsid w:val="00856564"/>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06E06"/>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F0721"/>
    <w:rsid w:val="00AF6451"/>
    <w:rsid w:val="00B03864"/>
    <w:rsid w:val="00B14FC3"/>
    <w:rsid w:val="00B15F17"/>
    <w:rsid w:val="00B21391"/>
    <w:rsid w:val="00B41CE6"/>
    <w:rsid w:val="00B43558"/>
    <w:rsid w:val="00B44890"/>
    <w:rsid w:val="00B50606"/>
    <w:rsid w:val="00B61E27"/>
    <w:rsid w:val="00B6333A"/>
    <w:rsid w:val="00B779CF"/>
    <w:rsid w:val="00B9162B"/>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51D69"/>
    <w:rsid w:val="00C52F6F"/>
    <w:rsid w:val="00C65CB4"/>
    <w:rsid w:val="00C72E4C"/>
    <w:rsid w:val="00C80883"/>
    <w:rsid w:val="00C80921"/>
    <w:rsid w:val="00C86467"/>
    <w:rsid w:val="00C86CC5"/>
    <w:rsid w:val="00C91A38"/>
    <w:rsid w:val="00C9498E"/>
    <w:rsid w:val="00CA1557"/>
    <w:rsid w:val="00CA5454"/>
    <w:rsid w:val="00CB08CB"/>
    <w:rsid w:val="00CB210A"/>
    <w:rsid w:val="00CB6FFB"/>
    <w:rsid w:val="00CC6422"/>
    <w:rsid w:val="00CF7AC1"/>
    <w:rsid w:val="00D102E1"/>
    <w:rsid w:val="00D22227"/>
    <w:rsid w:val="00D42D9B"/>
    <w:rsid w:val="00D46773"/>
    <w:rsid w:val="00D637E1"/>
    <w:rsid w:val="00D66D82"/>
    <w:rsid w:val="00D751E3"/>
    <w:rsid w:val="00D76CDC"/>
    <w:rsid w:val="00D8405B"/>
    <w:rsid w:val="00D931FB"/>
    <w:rsid w:val="00D96002"/>
    <w:rsid w:val="00DA0AF3"/>
    <w:rsid w:val="00DB5C97"/>
    <w:rsid w:val="00DD79BB"/>
    <w:rsid w:val="00DE1FCC"/>
    <w:rsid w:val="00E15370"/>
    <w:rsid w:val="00E15CFE"/>
    <w:rsid w:val="00E21F8D"/>
    <w:rsid w:val="00E26DE4"/>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50F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1190</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2019-11-08T11:36:00Z</dcterms:created>
  <dcterms:modified xsi:type="dcterms:W3CDTF">2022-02-07T15:13:00Z</dcterms:modified>
</cp:coreProperties>
</file>