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387"/>
        <w:gridCol w:w="425"/>
      </w:tblGrid>
      <w:tr w:rsidR="00345D68" w:rsidRPr="003545A5" w14:paraId="3FAB4664" w14:textId="77777777" w:rsidTr="007C2924">
        <w:tc>
          <w:tcPr>
            <w:tcW w:w="13556" w:type="dxa"/>
            <w:gridSpan w:val="3"/>
          </w:tcPr>
          <w:p w14:paraId="3D791A0F" w14:textId="77777777" w:rsidR="00345D68" w:rsidRDefault="00345D68" w:rsidP="00FF40AB">
            <w:pPr>
              <w:rPr>
                <w:b/>
                <w:sz w:val="32"/>
                <w:szCs w:val="32"/>
                <w:lang w:val="nl-BE"/>
              </w:rPr>
            </w:pPr>
            <w:r w:rsidRPr="00345D68">
              <w:rPr>
                <w:b/>
                <w:sz w:val="32"/>
                <w:szCs w:val="32"/>
                <w:lang w:val="nl-BE"/>
              </w:rPr>
              <w:t>Titel 9. - Strafbepalingen.</w:t>
            </w:r>
          </w:p>
        </w:tc>
        <w:tc>
          <w:tcPr>
            <w:tcW w:w="425" w:type="dxa"/>
            <w:shd w:val="clear" w:color="auto" w:fill="auto"/>
          </w:tcPr>
          <w:p w14:paraId="69E98BF6" w14:textId="77777777" w:rsidR="00345D68" w:rsidRPr="007B17CA" w:rsidRDefault="00345D68" w:rsidP="00FF40AB">
            <w:pPr>
              <w:jc w:val="center"/>
              <w:rPr>
                <w:rFonts w:ascii="Cambria" w:eastAsia="Calibri" w:hAnsi="Cambria" w:cs="Times New Roman"/>
                <w:b/>
                <w:bCs/>
                <w:color w:val="4F81BD"/>
                <w:sz w:val="32"/>
                <w:szCs w:val="26"/>
                <w:lang w:val="nl-NL" w:eastAsia="fr-FR"/>
              </w:rPr>
            </w:pPr>
          </w:p>
        </w:tc>
      </w:tr>
      <w:tr w:rsidR="001203BA" w:rsidRPr="003545A5" w14:paraId="48F15E6F" w14:textId="77777777" w:rsidTr="007C2924">
        <w:tc>
          <w:tcPr>
            <w:tcW w:w="2122" w:type="dxa"/>
          </w:tcPr>
          <w:p w14:paraId="28B844FE" w14:textId="77777777" w:rsidR="001203BA" w:rsidRPr="00B07AC9" w:rsidRDefault="00BF2646" w:rsidP="00FF40AB">
            <w:pPr>
              <w:rPr>
                <w:b/>
                <w:sz w:val="32"/>
                <w:szCs w:val="32"/>
                <w:lang w:val="nl-BE"/>
              </w:rPr>
            </w:pPr>
            <w:r>
              <w:rPr>
                <w:b/>
                <w:sz w:val="32"/>
                <w:szCs w:val="32"/>
                <w:lang w:val="nl-BE"/>
              </w:rPr>
              <w:t>ARTIKEL 16:32</w:t>
            </w:r>
          </w:p>
        </w:tc>
        <w:tc>
          <w:tcPr>
            <w:tcW w:w="11859" w:type="dxa"/>
            <w:gridSpan w:val="3"/>
            <w:shd w:val="clear" w:color="auto" w:fill="auto"/>
          </w:tcPr>
          <w:p w14:paraId="403B95DF" w14:textId="77777777" w:rsidR="001203BA" w:rsidRPr="007B17CA" w:rsidRDefault="001203BA" w:rsidP="00FF40AB">
            <w:pPr>
              <w:jc w:val="center"/>
              <w:rPr>
                <w:rFonts w:ascii="Cambria" w:eastAsia="Calibri" w:hAnsi="Cambria" w:cs="Times New Roman"/>
                <w:b/>
                <w:bCs/>
                <w:color w:val="4F81BD"/>
                <w:sz w:val="32"/>
                <w:szCs w:val="26"/>
                <w:lang w:val="nl-NL" w:eastAsia="fr-FR"/>
              </w:rPr>
            </w:pPr>
          </w:p>
        </w:tc>
      </w:tr>
      <w:tr w:rsidR="00BC6B5D" w:rsidRPr="003545A5" w14:paraId="3EA184EF" w14:textId="77777777" w:rsidTr="007C2924">
        <w:tc>
          <w:tcPr>
            <w:tcW w:w="2122" w:type="dxa"/>
          </w:tcPr>
          <w:p w14:paraId="6EC09AAB" w14:textId="77777777" w:rsidR="00BC6B5D" w:rsidRDefault="00BC6B5D" w:rsidP="00FF40AB">
            <w:pPr>
              <w:rPr>
                <w:b/>
                <w:sz w:val="32"/>
                <w:szCs w:val="32"/>
                <w:lang w:val="nl-BE"/>
              </w:rPr>
            </w:pPr>
          </w:p>
        </w:tc>
        <w:tc>
          <w:tcPr>
            <w:tcW w:w="11859" w:type="dxa"/>
            <w:gridSpan w:val="3"/>
            <w:shd w:val="clear" w:color="auto" w:fill="auto"/>
          </w:tcPr>
          <w:p w14:paraId="6DFA83DC" w14:textId="77777777" w:rsidR="00BC6B5D" w:rsidRPr="007B17CA" w:rsidRDefault="00BC6B5D" w:rsidP="00FF40AB">
            <w:pPr>
              <w:jc w:val="center"/>
              <w:rPr>
                <w:rFonts w:ascii="Cambria" w:eastAsia="Calibri" w:hAnsi="Cambria" w:cs="Times New Roman"/>
                <w:b/>
                <w:bCs/>
                <w:color w:val="4F81BD"/>
                <w:sz w:val="32"/>
                <w:szCs w:val="26"/>
                <w:lang w:val="nl-NL" w:eastAsia="fr-FR"/>
              </w:rPr>
            </w:pPr>
          </w:p>
        </w:tc>
      </w:tr>
      <w:tr w:rsidR="00BF2646" w:rsidRPr="007C2924" w14:paraId="20511672" w14:textId="77777777" w:rsidTr="007C2924">
        <w:trPr>
          <w:trHeight w:val="5375"/>
        </w:trPr>
        <w:tc>
          <w:tcPr>
            <w:tcW w:w="2122" w:type="dxa"/>
          </w:tcPr>
          <w:p w14:paraId="5575A1F6" w14:textId="77777777" w:rsidR="00BF2646" w:rsidRDefault="00BF2646" w:rsidP="00FF40AB">
            <w:pPr>
              <w:spacing w:after="0" w:line="240" w:lineRule="auto"/>
              <w:jc w:val="both"/>
              <w:rPr>
                <w:rFonts w:cs="Calibri"/>
                <w:lang w:val="nl-BE"/>
              </w:rPr>
            </w:pPr>
            <w:r>
              <w:rPr>
                <w:rFonts w:cs="Calibri"/>
                <w:lang w:val="nl-BE"/>
              </w:rPr>
              <w:t>WVV</w:t>
            </w:r>
          </w:p>
        </w:tc>
        <w:tc>
          <w:tcPr>
            <w:tcW w:w="6047" w:type="dxa"/>
            <w:shd w:val="clear" w:color="auto" w:fill="auto"/>
          </w:tcPr>
          <w:p w14:paraId="1CD32BBE" w14:textId="1A42229D" w:rsidR="00BF2646" w:rsidRPr="005C5342" w:rsidRDefault="00BF2646" w:rsidP="00FF40AB">
            <w:pPr>
              <w:spacing w:after="0" w:line="240" w:lineRule="auto"/>
              <w:jc w:val="both"/>
              <w:rPr>
                <w:rFonts w:cs="Calibri"/>
                <w:lang w:val="nl-BE"/>
              </w:rPr>
            </w:pPr>
            <w:r w:rsidRPr="005C5342">
              <w:rPr>
                <w:rFonts w:cs="Calibri"/>
                <w:lang w:val="nl-BE"/>
              </w:rPr>
              <w:t xml:space="preserve">Met geldboete van vijftig euro tot tienduizend euro </w:t>
            </w:r>
            <w:r w:rsidR="00746C5F">
              <w:rPr>
                <w:rFonts w:cs="Calibri"/>
                <w:lang w:val="nl-BE"/>
              </w:rPr>
              <w:fldChar w:fldCharType="begin"/>
            </w:r>
            <w:r w:rsidR="00746C5F">
              <w:rPr>
                <w:rFonts w:cs="Calibri"/>
                <w:lang w:val="nl-BE"/>
              </w:rPr>
              <w:instrText xml:space="preserve"> HYPERLINK  \l "_Amendement_315" </w:instrText>
            </w:r>
            <w:r w:rsidR="00746C5F">
              <w:rPr>
                <w:rFonts w:cs="Calibri"/>
                <w:lang w:val="nl-BE"/>
              </w:rPr>
            </w:r>
            <w:r w:rsidR="00746C5F">
              <w:rPr>
                <w:rFonts w:cs="Calibri"/>
                <w:lang w:val="nl-BE"/>
              </w:rPr>
              <w:fldChar w:fldCharType="separate"/>
            </w:r>
            <w:r w:rsidRPr="00746C5F">
              <w:rPr>
                <w:rStyle w:val="Hyperlink"/>
                <w:rFonts w:cs="Calibri"/>
                <w:lang w:val="nl-BE"/>
              </w:rPr>
              <w:t>en bovendien met gevangenisstraf van één maand tot één jaar kunnen</w:t>
            </w:r>
            <w:r w:rsidR="00746C5F">
              <w:rPr>
                <w:rFonts w:cs="Calibri"/>
                <w:lang w:val="nl-BE"/>
              </w:rPr>
              <w:fldChar w:fldCharType="end"/>
            </w:r>
            <w:r>
              <w:rPr>
                <w:rFonts w:cs="Calibri"/>
                <w:lang w:val="nl-BE"/>
              </w:rPr>
              <w:t xml:space="preserve"> </w:t>
            </w:r>
            <w:r w:rsidRPr="005C5342">
              <w:rPr>
                <w:rFonts w:cs="Calibri"/>
                <w:lang w:val="nl-BE"/>
              </w:rPr>
              <w:t>worden gestraft</w:t>
            </w:r>
            <w:r>
              <w:rPr>
                <w:rFonts w:cs="Calibri"/>
                <w:lang w:val="nl-BE"/>
              </w:rPr>
              <w:t>:</w:t>
            </w:r>
          </w:p>
          <w:p w14:paraId="6C41D58A" w14:textId="77777777" w:rsidR="00BF2646" w:rsidRPr="005C5342" w:rsidRDefault="00BF2646" w:rsidP="00FF40AB">
            <w:pPr>
              <w:spacing w:after="0" w:line="240" w:lineRule="auto"/>
              <w:jc w:val="both"/>
              <w:rPr>
                <w:rFonts w:cs="Calibri"/>
                <w:lang w:val="nl-BE"/>
              </w:rPr>
            </w:pPr>
          </w:p>
          <w:p w14:paraId="34A9EDD8" w14:textId="2A716AAF" w:rsidR="00BF2646" w:rsidRDefault="00BF2646" w:rsidP="00FF40AB">
            <w:pPr>
              <w:spacing w:after="0" w:line="240" w:lineRule="auto"/>
              <w:jc w:val="both"/>
              <w:rPr>
                <w:rFonts w:cs="Calibri"/>
                <w:lang w:val="nl-BE"/>
              </w:rPr>
            </w:pPr>
            <w:r w:rsidRPr="005C5342">
              <w:rPr>
                <w:rFonts w:cs="Calibri"/>
                <w:lang w:val="nl-BE"/>
              </w:rPr>
              <w:t xml:space="preserve">  1° de bestuurders als bedoeld in artikel 2:5</w:t>
            </w:r>
            <w:r>
              <w:rPr>
                <w:rFonts w:cs="Calibri"/>
                <w:lang w:val="nl-BE"/>
              </w:rPr>
              <w:t>1</w:t>
            </w:r>
            <w:r w:rsidRPr="005C5342">
              <w:rPr>
                <w:rFonts w:cs="Calibri"/>
                <w:lang w:val="nl-BE"/>
              </w:rPr>
              <w:t xml:space="preserve"> die het bijzonder verslag samen met het verslag van de commissaris of van de bedrijfsrevisor, niet voorleggen zoals voorgeschreven door de artikelen 7:7 en </w:t>
            </w:r>
            <w:r w:rsidR="00746C5F">
              <w:rPr>
                <w:rFonts w:cs="Calibri"/>
                <w:lang w:val="nl-BE"/>
              </w:rPr>
              <w:fldChar w:fldCharType="begin"/>
            </w:r>
            <w:r w:rsidR="00746C5F">
              <w:rPr>
                <w:rFonts w:cs="Calibri"/>
                <w:lang w:val="nl-BE"/>
              </w:rPr>
              <w:instrText xml:space="preserve"> HYPERLINK  \l "_Amendement_315_1" </w:instrText>
            </w:r>
            <w:r w:rsidR="00746C5F">
              <w:rPr>
                <w:rFonts w:cs="Calibri"/>
                <w:lang w:val="nl-BE"/>
              </w:rPr>
            </w:r>
            <w:r w:rsidR="00746C5F">
              <w:rPr>
                <w:rFonts w:cs="Calibri"/>
                <w:lang w:val="nl-BE"/>
              </w:rPr>
              <w:fldChar w:fldCharType="separate"/>
            </w:r>
            <w:r w:rsidRPr="00746C5F">
              <w:rPr>
                <w:rStyle w:val="Hyperlink"/>
                <w:rFonts w:cs="Calibri"/>
                <w:lang w:val="nl-BE"/>
              </w:rPr>
              <w:t>7:197</w:t>
            </w:r>
            <w:r w:rsidR="00746C5F">
              <w:rPr>
                <w:rFonts w:cs="Calibri"/>
                <w:lang w:val="nl-BE"/>
              </w:rPr>
              <w:fldChar w:fldCharType="end"/>
            </w:r>
            <w:r w:rsidRPr="005C5342">
              <w:rPr>
                <w:rFonts w:cs="Calibri"/>
                <w:lang w:val="nl-BE"/>
              </w:rPr>
              <w:t>;</w:t>
            </w:r>
          </w:p>
          <w:p w14:paraId="761641B8" w14:textId="77777777" w:rsidR="00BF2646" w:rsidRDefault="00BF2646" w:rsidP="00FF40AB">
            <w:pPr>
              <w:spacing w:after="0" w:line="240" w:lineRule="auto"/>
              <w:jc w:val="both"/>
              <w:rPr>
                <w:rFonts w:cs="Calibri"/>
                <w:lang w:val="nl-BE"/>
              </w:rPr>
            </w:pPr>
          </w:p>
          <w:p w14:paraId="4EE43045" w14:textId="36AE3E9C" w:rsidR="00BF2646" w:rsidRDefault="00BF2646" w:rsidP="00FF40AB">
            <w:pPr>
              <w:spacing w:after="0" w:line="240" w:lineRule="auto"/>
              <w:jc w:val="both"/>
              <w:rPr>
                <w:rFonts w:cs="Calibri"/>
                <w:lang w:val="nl-BE"/>
              </w:rPr>
            </w:pPr>
            <w:r w:rsidRPr="005C5342">
              <w:rPr>
                <w:rFonts w:cs="Calibri"/>
                <w:lang w:val="nl-BE"/>
              </w:rPr>
              <w:t xml:space="preserve">  2° de bestuurders als bedoeld in artikel 2:5</w:t>
            </w:r>
            <w:r>
              <w:rPr>
                <w:rFonts w:cs="Calibri"/>
                <w:lang w:val="nl-BE"/>
              </w:rPr>
              <w:t>1</w:t>
            </w:r>
            <w:r w:rsidRPr="005C5342">
              <w:rPr>
                <w:rFonts w:cs="Calibri"/>
                <w:lang w:val="nl-BE"/>
              </w:rPr>
              <w:t xml:space="preserve"> die het voorschrift van artikel </w:t>
            </w:r>
            <w:r w:rsidR="00746C5F">
              <w:rPr>
                <w:rFonts w:cs="Calibri"/>
                <w:lang w:val="nl-BE"/>
              </w:rPr>
              <w:fldChar w:fldCharType="begin"/>
            </w:r>
            <w:r w:rsidR="00746C5F">
              <w:rPr>
                <w:rFonts w:cs="Calibri"/>
                <w:lang w:val="nl-BE"/>
              </w:rPr>
              <w:instrText xml:space="preserve"> HYPERLINK  \l "_Amendement_315_2" </w:instrText>
            </w:r>
            <w:r w:rsidR="00746C5F">
              <w:rPr>
                <w:rFonts w:cs="Calibri"/>
                <w:lang w:val="nl-BE"/>
              </w:rPr>
            </w:r>
            <w:r w:rsidR="00746C5F">
              <w:rPr>
                <w:rFonts w:cs="Calibri"/>
                <w:lang w:val="nl-BE"/>
              </w:rPr>
              <w:fldChar w:fldCharType="separate"/>
            </w:r>
            <w:r w:rsidRPr="00746C5F">
              <w:rPr>
                <w:rStyle w:val="Hyperlink"/>
                <w:rFonts w:cs="Calibri"/>
                <w:lang w:val="nl-BE"/>
              </w:rPr>
              <w:t>7:212</w:t>
            </w:r>
            <w:r w:rsidR="00746C5F">
              <w:rPr>
                <w:rFonts w:cs="Calibri"/>
                <w:lang w:val="nl-BE"/>
              </w:rPr>
              <w:fldChar w:fldCharType="end"/>
            </w:r>
            <w:r w:rsidRPr="005C5342">
              <w:rPr>
                <w:rFonts w:cs="Calibri"/>
                <w:lang w:val="nl-BE"/>
              </w:rPr>
              <w:t xml:space="preserve"> hebben overtreden</w:t>
            </w:r>
            <w:r>
              <w:rPr>
                <w:rFonts w:cs="Calibri"/>
                <w:lang w:val="nl-BE"/>
              </w:rPr>
              <w:t>;</w:t>
            </w:r>
          </w:p>
          <w:p w14:paraId="231CADCC" w14:textId="77777777" w:rsidR="00BF2646" w:rsidRDefault="00BF2646" w:rsidP="00FF40AB">
            <w:pPr>
              <w:spacing w:after="0" w:line="240" w:lineRule="auto"/>
              <w:jc w:val="both"/>
              <w:rPr>
                <w:rFonts w:cs="Calibri"/>
                <w:lang w:val="nl-BE"/>
              </w:rPr>
            </w:pPr>
          </w:p>
          <w:p w14:paraId="1E441FB6" w14:textId="77777777" w:rsidR="00BF2646" w:rsidRDefault="00BF2646" w:rsidP="00FF40AB">
            <w:pPr>
              <w:spacing w:after="0" w:line="240" w:lineRule="auto"/>
              <w:jc w:val="both"/>
              <w:rPr>
                <w:rFonts w:cs="Calibri"/>
                <w:lang w:val="nl-BE"/>
              </w:rPr>
            </w:pPr>
            <w:r w:rsidRPr="005C5342">
              <w:rPr>
                <w:rFonts w:cs="Calibri"/>
                <w:lang w:val="nl-BE"/>
              </w:rPr>
              <w:t xml:space="preserve">  3° zij die als bestuurder zoals bedoeld in artikel 2:5</w:t>
            </w:r>
            <w:r>
              <w:rPr>
                <w:rFonts w:cs="Calibri"/>
                <w:lang w:val="nl-BE"/>
              </w:rPr>
              <w:t>1</w:t>
            </w:r>
            <w:r w:rsidRPr="005C5342">
              <w:rPr>
                <w:rFonts w:cs="Calibri"/>
                <w:lang w:val="nl-BE"/>
              </w:rPr>
              <w:t xml:space="preserve"> of commissaris door enig middel op kosten van de vennootschap geldstortingen op de aandelen doen of geldstortingen als gedaan erkennen die niet werkelijk gedaan zijn op de voorgeschreven wijze en tijdstippen</w:t>
            </w:r>
            <w:r>
              <w:rPr>
                <w:rFonts w:cs="Calibri"/>
                <w:lang w:val="nl-BE"/>
              </w:rPr>
              <w:t>;</w:t>
            </w:r>
          </w:p>
          <w:p w14:paraId="3681503A" w14:textId="77777777" w:rsidR="00BF2646" w:rsidRDefault="00BF2646" w:rsidP="00FF40AB">
            <w:pPr>
              <w:spacing w:after="0" w:line="240" w:lineRule="auto"/>
              <w:jc w:val="both"/>
              <w:rPr>
                <w:rFonts w:cs="Calibri"/>
                <w:lang w:val="nl-BE"/>
              </w:rPr>
            </w:pPr>
          </w:p>
          <w:p w14:paraId="19EF8303" w14:textId="77777777" w:rsidR="00BF2646" w:rsidRPr="005C5342" w:rsidRDefault="00BF2646" w:rsidP="00FF40AB">
            <w:pPr>
              <w:spacing w:after="0" w:line="240" w:lineRule="auto"/>
              <w:jc w:val="both"/>
              <w:rPr>
                <w:rFonts w:cs="Calibri"/>
                <w:lang w:val="nl-BE"/>
              </w:rPr>
            </w:pPr>
            <w:r w:rsidRPr="005C5342">
              <w:rPr>
                <w:rFonts w:cs="Calibri"/>
                <w:lang w:val="nl-BE"/>
              </w:rPr>
              <w:t xml:space="preserve">  4° zij die de voorschriften van artikel 4, lid 12, van verordening (EG) nr. 1435/2003 hebben overtreden.</w:t>
            </w:r>
          </w:p>
        </w:tc>
        <w:tc>
          <w:tcPr>
            <w:tcW w:w="5812" w:type="dxa"/>
            <w:gridSpan w:val="2"/>
            <w:shd w:val="clear" w:color="auto" w:fill="auto"/>
          </w:tcPr>
          <w:p w14:paraId="1481B793" w14:textId="68A86943" w:rsidR="00BF2646" w:rsidRPr="00BF2646" w:rsidRDefault="00BF2646" w:rsidP="00FF40AB">
            <w:pPr>
              <w:spacing w:after="0" w:line="240" w:lineRule="auto"/>
              <w:jc w:val="both"/>
              <w:rPr>
                <w:rFonts w:cs="Calibri"/>
                <w:lang w:val="fr-FR"/>
              </w:rPr>
            </w:pPr>
            <w:r w:rsidRPr="005C5342">
              <w:rPr>
                <w:rFonts w:cs="Calibri"/>
                <w:lang w:val="fr-BE"/>
              </w:rPr>
              <w:t>Seront punis d'une amende de cinquante à dix mille euros</w:t>
            </w:r>
            <w:r>
              <w:rPr>
                <w:rFonts w:cs="Calibri"/>
                <w:lang w:val="fr-BE"/>
              </w:rPr>
              <w:t xml:space="preserve"> </w:t>
            </w:r>
            <w:hyperlink w:anchor="_Amendement_315_3" w:history="1">
              <w:r w:rsidRPr="00746C5F">
                <w:rPr>
                  <w:rStyle w:val="Hyperlink"/>
                  <w:rFonts w:cs="Calibri"/>
                  <w:lang w:val="fr-BE"/>
                </w:rPr>
                <w:t>et pourront en outre être puni d’un emprisonnement d’un mois à un an</w:t>
              </w:r>
            </w:hyperlink>
            <w:r>
              <w:rPr>
                <w:rFonts w:cs="Calibri"/>
                <w:lang w:val="fr-BE"/>
              </w:rPr>
              <w:t> :</w:t>
            </w:r>
          </w:p>
          <w:p w14:paraId="4F6C3FB1" w14:textId="77777777" w:rsidR="00BF2646" w:rsidRDefault="00BF2646" w:rsidP="00FF40AB">
            <w:pPr>
              <w:spacing w:after="0" w:line="240" w:lineRule="auto"/>
              <w:jc w:val="both"/>
              <w:rPr>
                <w:rFonts w:cs="Calibri"/>
                <w:lang w:val="fr-BE"/>
              </w:rPr>
            </w:pPr>
          </w:p>
          <w:p w14:paraId="06D45979" w14:textId="1E268D4F" w:rsidR="00BF2646" w:rsidRDefault="00BF2646" w:rsidP="00FF40AB">
            <w:pPr>
              <w:spacing w:after="0" w:line="240" w:lineRule="auto"/>
              <w:jc w:val="both"/>
              <w:rPr>
                <w:rFonts w:cs="Calibri"/>
                <w:lang w:val="fr-BE"/>
              </w:rPr>
            </w:pPr>
            <w:r w:rsidRPr="005C5342">
              <w:rPr>
                <w:rFonts w:cs="Calibri"/>
                <w:lang w:val="fr-BE"/>
              </w:rPr>
              <w:t xml:space="preserve">  1° les administrateurs au sens de l’article 2:5</w:t>
            </w:r>
            <w:r>
              <w:rPr>
                <w:rFonts w:cs="Calibri"/>
                <w:lang w:val="fr-BE"/>
              </w:rPr>
              <w:t>1</w:t>
            </w:r>
            <w:r w:rsidRPr="005C5342">
              <w:rPr>
                <w:rFonts w:cs="Calibri"/>
                <w:lang w:val="fr-BE"/>
              </w:rPr>
              <w:t xml:space="preserve"> qui n'ont pas présenté le rapport spécial accompagné du rapport du commissaire ou du réviseur d'entreprises, ainsi que le prévoient les articles 7:7 et </w:t>
            </w:r>
            <w:hyperlink w:anchor="_Amendement_315_4" w:history="1">
              <w:r w:rsidRPr="00746C5F">
                <w:rPr>
                  <w:rStyle w:val="Hyperlink"/>
                  <w:rFonts w:cs="Calibri"/>
                  <w:lang w:val="fr-BE"/>
                </w:rPr>
                <w:t>7:197 </w:t>
              </w:r>
            </w:hyperlink>
            <w:r>
              <w:rPr>
                <w:rFonts w:cs="Calibri"/>
                <w:lang w:val="fr-BE"/>
              </w:rPr>
              <w:t>;</w:t>
            </w:r>
          </w:p>
          <w:p w14:paraId="1B792737" w14:textId="77777777" w:rsidR="00BF2646" w:rsidRDefault="00BF2646" w:rsidP="00FF40AB">
            <w:pPr>
              <w:spacing w:after="0" w:line="240" w:lineRule="auto"/>
              <w:jc w:val="both"/>
              <w:rPr>
                <w:rFonts w:cs="Calibri"/>
                <w:lang w:val="fr-BE"/>
              </w:rPr>
            </w:pPr>
          </w:p>
          <w:p w14:paraId="11E21B8F" w14:textId="0A4EB9B1" w:rsidR="00BF2646" w:rsidRDefault="00BF2646" w:rsidP="00FF40AB">
            <w:pPr>
              <w:spacing w:after="0" w:line="240" w:lineRule="auto"/>
              <w:jc w:val="both"/>
              <w:rPr>
                <w:rFonts w:cs="Calibri"/>
                <w:lang w:val="fr-BE"/>
              </w:rPr>
            </w:pPr>
            <w:r w:rsidRPr="005C5342">
              <w:rPr>
                <w:rFonts w:cs="Calibri"/>
                <w:lang w:val="fr-BE"/>
              </w:rPr>
              <w:t xml:space="preserve">  2° les administrateurs au sens de l’article 2:5</w:t>
            </w:r>
            <w:r>
              <w:rPr>
                <w:rFonts w:cs="Calibri"/>
                <w:lang w:val="fr-BE"/>
              </w:rPr>
              <w:t>1</w:t>
            </w:r>
            <w:r w:rsidRPr="005C5342">
              <w:rPr>
                <w:rFonts w:cs="Calibri"/>
                <w:lang w:val="fr-BE"/>
              </w:rPr>
              <w:t xml:space="preserve"> qui ont contrevenu à l'article </w:t>
            </w:r>
            <w:r w:rsidR="00746C5F">
              <w:rPr>
                <w:rFonts w:cs="Calibri"/>
                <w:lang w:val="fr-BE"/>
              </w:rPr>
              <w:fldChar w:fldCharType="begin"/>
            </w:r>
            <w:r w:rsidR="00746C5F">
              <w:rPr>
                <w:rFonts w:cs="Calibri"/>
                <w:lang w:val="fr-BE"/>
              </w:rPr>
              <w:instrText xml:space="preserve"> HYPERLINK  \l "_Amendement_315_5" </w:instrText>
            </w:r>
            <w:r w:rsidR="00746C5F">
              <w:rPr>
                <w:rFonts w:cs="Calibri"/>
                <w:lang w:val="fr-BE"/>
              </w:rPr>
            </w:r>
            <w:r w:rsidR="00746C5F">
              <w:rPr>
                <w:rFonts w:cs="Calibri"/>
                <w:lang w:val="fr-BE"/>
              </w:rPr>
              <w:fldChar w:fldCharType="separate"/>
            </w:r>
            <w:r w:rsidRPr="00746C5F">
              <w:rPr>
                <w:rStyle w:val="Hyperlink"/>
                <w:rFonts w:cs="Calibri"/>
                <w:lang w:val="fr-BE"/>
              </w:rPr>
              <w:t>7:212</w:t>
            </w:r>
            <w:r w:rsidR="00746C5F">
              <w:rPr>
                <w:rFonts w:cs="Calibri"/>
                <w:lang w:val="fr-BE"/>
              </w:rPr>
              <w:fldChar w:fldCharType="end"/>
            </w:r>
            <w:bookmarkStart w:id="0" w:name="_GoBack"/>
            <w:bookmarkEnd w:id="0"/>
            <w:r w:rsidRPr="005C5342">
              <w:rPr>
                <w:rFonts w:cs="Calibri"/>
                <w:lang w:val="fr-BE"/>
              </w:rPr>
              <w:t>;</w:t>
            </w:r>
          </w:p>
          <w:p w14:paraId="2A4807BB" w14:textId="77777777" w:rsidR="00BF2646" w:rsidRDefault="00BF2646" w:rsidP="00FF40AB">
            <w:pPr>
              <w:spacing w:after="0" w:line="240" w:lineRule="auto"/>
              <w:jc w:val="both"/>
              <w:rPr>
                <w:rFonts w:cs="Calibri"/>
                <w:lang w:val="fr-BE"/>
              </w:rPr>
            </w:pPr>
          </w:p>
          <w:p w14:paraId="285D4F0D" w14:textId="77777777" w:rsidR="00BF2646" w:rsidRDefault="00BF2646" w:rsidP="00FF40AB">
            <w:pPr>
              <w:spacing w:after="0" w:line="240" w:lineRule="auto"/>
              <w:jc w:val="both"/>
              <w:rPr>
                <w:rFonts w:cs="Calibri"/>
                <w:lang w:val="fr-BE"/>
              </w:rPr>
            </w:pPr>
            <w:r w:rsidRPr="005C5342">
              <w:rPr>
                <w:rFonts w:cs="Calibri"/>
                <w:lang w:val="fr-BE"/>
              </w:rPr>
              <w:t xml:space="preserve">  3° tous ceux qui, comme administrateurs au sens de l’article 2:5</w:t>
            </w:r>
            <w:r>
              <w:rPr>
                <w:rFonts w:cs="Calibri"/>
                <w:lang w:val="fr-BE"/>
              </w:rPr>
              <w:t>1</w:t>
            </w:r>
            <w:r w:rsidRPr="005C5342">
              <w:rPr>
                <w:rFonts w:cs="Calibri"/>
                <w:lang w:val="fr-BE"/>
              </w:rPr>
              <w:t xml:space="preserve"> ou commissaires, auront fait, par un usage quelconque, aux frais de la société, des versements sur les actions ou admis comme faits des versements qui ne sont pas effectués réellement de la manière et aux époques prescrites ;</w:t>
            </w:r>
          </w:p>
          <w:p w14:paraId="1EAE6F74" w14:textId="77777777" w:rsidR="00BF2646" w:rsidRDefault="00BF2646" w:rsidP="00FF40AB">
            <w:pPr>
              <w:spacing w:after="0" w:line="240" w:lineRule="auto"/>
              <w:jc w:val="both"/>
              <w:rPr>
                <w:rFonts w:cs="Calibri"/>
                <w:lang w:val="fr-BE"/>
              </w:rPr>
            </w:pPr>
          </w:p>
          <w:p w14:paraId="24F684CB" w14:textId="77777777" w:rsidR="00BF2646" w:rsidRPr="00BE221B" w:rsidRDefault="00BF2646" w:rsidP="00FF40AB">
            <w:pPr>
              <w:spacing w:after="0" w:line="240" w:lineRule="auto"/>
              <w:jc w:val="both"/>
              <w:rPr>
                <w:rFonts w:cs="Calibri"/>
                <w:lang w:val="fr-BE"/>
              </w:rPr>
            </w:pPr>
            <w:r w:rsidRPr="005C5342">
              <w:rPr>
                <w:rFonts w:cs="Calibri"/>
                <w:lang w:val="fr-BE"/>
              </w:rPr>
              <w:t xml:space="preserve">  4° ceux qui ont contrevenu à l'article 4, § 12, du règlement n° 1435/2003</w:t>
            </w:r>
            <w:r>
              <w:rPr>
                <w:rFonts w:cs="Calibri"/>
                <w:lang w:val="fr-BE"/>
              </w:rPr>
              <w:t>.</w:t>
            </w:r>
          </w:p>
        </w:tc>
      </w:tr>
      <w:tr w:rsidR="00FF2820" w:rsidRPr="007C2924" w14:paraId="19E51C1A" w14:textId="77777777" w:rsidTr="00FF2820">
        <w:trPr>
          <w:trHeight w:val="451"/>
        </w:trPr>
        <w:tc>
          <w:tcPr>
            <w:tcW w:w="2122" w:type="dxa"/>
          </w:tcPr>
          <w:p w14:paraId="61D6DDD1" w14:textId="77777777" w:rsidR="00FF2820" w:rsidRPr="004E639D" w:rsidRDefault="00FF2820" w:rsidP="00CC40A6">
            <w:pPr>
              <w:spacing w:after="0" w:line="240" w:lineRule="auto"/>
              <w:jc w:val="both"/>
            </w:pPr>
            <w:proofErr w:type="spellStart"/>
            <w:r w:rsidRPr="004E639D">
              <w:t>Ontwerp</w:t>
            </w:r>
            <w:proofErr w:type="spellEnd"/>
          </w:p>
        </w:tc>
        <w:tc>
          <w:tcPr>
            <w:tcW w:w="6047" w:type="dxa"/>
            <w:shd w:val="clear" w:color="auto" w:fill="auto"/>
          </w:tcPr>
          <w:p w14:paraId="0B0882EE" w14:textId="77777777" w:rsidR="00FF2820" w:rsidRPr="004E639D" w:rsidRDefault="00FF2820" w:rsidP="00CC40A6">
            <w:pPr>
              <w:spacing w:after="0" w:line="240" w:lineRule="auto"/>
              <w:jc w:val="both"/>
            </w:pPr>
            <w:proofErr w:type="spellStart"/>
            <w:r w:rsidRPr="004E639D">
              <w:t>Geen</w:t>
            </w:r>
            <w:proofErr w:type="spellEnd"/>
            <w:r w:rsidRPr="004E639D">
              <w:t xml:space="preserve"> </w:t>
            </w:r>
            <w:proofErr w:type="spellStart"/>
            <w:r w:rsidRPr="004E639D">
              <w:t>artikel</w:t>
            </w:r>
            <w:proofErr w:type="spellEnd"/>
            <w:r>
              <w:t>.</w:t>
            </w:r>
          </w:p>
        </w:tc>
        <w:tc>
          <w:tcPr>
            <w:tcW w:w="5812" w:type="dxa"/>
            <w:gridSpan w:val="2"/>
            <w:shd w:val="clear" w:color="auto" w:fill="auto"/>
          </w:tcPr>
          <w:p w14:paraId="60939C6E" w14:textId="77777777" w:rsidR="00FF2820" w:rsidRDefault="00FF2820" w:rsidP="00CC40A6">
            <w:pPr>
              <w:spacing w:after="0" w:line="240" w:lineRule="auto"/>
              <w:jc w:val="both"/>
            </w:pPr>
            <w:r w:rsidRPr="004E639D">
              <w:t xml:space="preserve">Pas </w:t>
            </w:r>
            <w:proofErr w:type="spellStart"/>
            <w:r w:rsidRPr="004E639D">
              <w:t>d’article</w:t>
            </w:r>
            <w:proofErr w:type="spellEnd"/>
            <w:r>
              <w:t>.</w:t>
            </w:r>
          </w:p>
        </w:tc>
      </w:tr>
      <w:tr w:rsidR="00FF2820" w:rsidRPr="00E62BEB" w14:paraId="56AB8C94" w14:textId="77777777" w:rsidTr="007C2924">
        <w:trPr>
          <w:trHeight w:val="423"/>
        </w:trPr>
        <w:tc>
          <w:tcPr>
            <w:tcW w:w="2122" w:type="dxa"/>
          </w:tcPr>
          <w:p w14:paraId="0573D9C1" w14:textId="77777777" w:rsidR="00FF2820" w:rsidRPr="00E62BEB" w:rsidRDefault="00FF2820" w:rsidP="00FF40AB">
            <w:pPr>
              <w:spacing w:after="0" w:line="240" w:lineRule="auto"/>
              <w:jc w:val="both"/>
              <w:rPr>
                <w:rFonts w:cs="Calibri"/>
                <w:lang w:val="fr-FR"/>
              </w:rPr>
            </w:pPr>
            <w:proofErr w:type="spellStart"/>
            <w:r>
              <w:rPr>
                <w:rFonts w:cs="Calibri"/>
                <w:lang w:val="fr-FR"/>
              </w:rPr>
              <w:t>Voorontwerp</w:t>
            </w:r>
            <w:proofErr w:type="spellEnd"/>
          </w:p>
        </w:tc>
        <w:tc>
          <w:tcPr>
            <w:tcW w:w="6047" w:type="dxa"/>
            <w:shd w:val="clear" w:color="auto" w:fill="auto"/>
          </w:tcPr>
          <w:p w14:paraId="48757F74" w14:textId="77777777" w:rsidR="00FF2820" w:rsidRPr="00E62BEB" w:rsidRDefault="00FF2820" w:rsidP="00FF40AB">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5EA763C6" w14:textId="77777777" w:rsidR="00FF2820" w:rsidRPr="005C5342" w:rsidRDefault="00FF2820" w:rsidP="00FF40AB">
            <w:pPr>
              <w:spacing w:after="0" w:line="240" w:lineRule="auto"/>
              <w:jc w:val="both"/>
              <w:rPr>
                <w:rFonts w:cs="Calibri"/>
                <w:lang w:val="fr-BE"/>
              </w:rPr>
            </w:pPr>
            <w:r>
              <w:rPr>
                <w:rFonts w:cs="Calibri"/>
                <w:lang w:val="fr-BE"/>
              </w:rPr>
              <w:t>Pas d’article.</w:t>
            </w:r>
          </w:p>
        </w:tc>
      </w:tr>
      <w:tr w:rsidR="00FF2820" w:rsidRPr="007C2924" w14:paraId="4B39F163" w14:textId="77777777" w:rsidTr="007C2924">
        <w:trPr>
          <w:trHeight w:val="416"/>
        </w:trPr>
        <w:tc>
          <w:tcPr>
            <w:tcW w:w="2122" w:type="dxa"/>
          </w:tcPr>
          <w:p w14:paraId="0E3CE7F4" w14:textId="77777777" w:rsidR="00FF2820" w:rsidRPr="004E639D" w:rsidRDefault="00FF2820" w:rsidP="00FF40AB">
            <w:pPr>
              <w:spacing w:after="0" w:line="240" w:lineRule="auto"/>
              <w:jc w:val="both"/>
            </w:pPr>
            <w:proofErr w:type="spellStart"/>
            <w:r>
              <w:t>MvT</w:t>
            </w:r>
            <w:proofErr w:type="spellEnd"/>
          </w:p>
        </w:tc>
        <w:tc>
          <w:tcPr>
            <w:tcW w:w="6047" w:type="dxa"/>
            <w:shd w:val="clear" w:color="auto" w:fill="auto"/>
          </w:tcPr>
          <w:p w14:paraId="519B3B7B" w14:textId="77777777" w:rsidR="00FF2820" w:rsidRPr="00345D68" w:rsidRDefault="00FF2820" w:rsidP="00FF40AB">
            <w:pPr>
              <w:spacing w:after="0" w:line="240" w:lineRule="auto"/>
              <w:jc w:val="both"/>
              <w:rPr>
                <w:lang w:val="nl-BE"/>
              </w:rPr>
            </w:pPr>
            <w:r w:rsidRPr="00345D68">
              <w:rPr>
                <w:lang w:val="nl-BE"/>
              </w:rPr>
              <w:t xml:space="preserve">Zowel de strafbepalingen die op de CV toepassing vinden, als de strafbepalingen die in een NV beogen het kapitaalregime te ondersteunen, vinden toepassing op de SCE, deze laatste </w:t>
            </w:r>
            <w:r w:rsidRPr="00345D68">
              <w:rPr>
                <w:lang w:val="nl-BE"/>
              </w:rPr>
              <w:lastRenderedPageBreak/>
              <w:t>uiteraard enkel maar voor zover de strafrechtelijk beteugelde regels zelf toepasselijk zijn.</w:t>
            </w:r>
          </w:p>
        </w:tc>
        <w:tc>
          <w:tcPr>
            <w:tcW w:w="5812" w:type="dxa"/>
            <w:gridSpan w:val="2"/>
            <w:shd w:val="clear" w:color="auto" w:fill="auto"/>
          </w:tcPr>
          <w:p w14:paraId="4B45AE3B" w14:textId="77777777" w:rsidR="00FF2820" w:rsidRPr="00345D68" w:rsidRDefault="00FF2820" w:rsidP="00FF40AB">
            <w:pPr>
              <w:spacing w:after="0" w:line="240" w:lineRule="auto"/>
              <w:jc w:val="both"/>
              <w:rPr>
                <w:lang w:val="fr-FR"/>
              </w:rPr>
            </w:pPr>
            <w:r w:rsidRPr="00345D68">
              <w:rPr>
                <w:lang w:val="fr-FR"/>
              </w:rPr>
              <w:lastRenderedPageBreak/>
              <w:t xml:space="preserve">Tant les dispositions pénales applicables à la SC que les dispositions pénales qui visent à soutenir le régime du capital dans une SA, s’appliquent à la SCE, ces dernières n’étant bien </w:t>
            </w:r>
            <w:r w:rsidRPr="00345D68">
              <w:rPr>
                <w:lang w:val="fr-FR"/>
              </w:rPr>
              <w:lastRenderedPageBreak/>
              <w:t>entendu applicables que pour autant que les règles sanctionnées pénalement soient elles-mêmes applicables.</w:t>
            </w:r>
          </w:p>
        </w:tc>
      </w:tr>
      <w:tr w:rsidR="00FF2820" w:rsidRPr="00345D68" w14:paraId="7138DBA8" w14:textId="77777777" w:rsidTr="007C2924">
        <w:trPr>
          <w:trHeight w:val="416"/>
        </w:trPr>
        <w:tc>
          <w:tcPr>
            <w:tcW w:w="2122" w:type="dxa"/>
          </w:tcPr>
          <w:p w14:paraId="08EE48A5" w14:textId="77777777" w:rsidR="00FF2820" w:rsidRDefault="00FF2820" w:rsidP="00FF40AB">
            <w:pPr>
              <w:spacing w:after="0" w:line="240" w:lineRule="auto"/>
              <w:jc w:val="both"/>
            </w:pPr>
            <w:proofErr w:type="spellStart"/>
            <w:r>
              <w:lastRenderedPageBreak/>
              <w:t>RvSt</w:t>
            </w:r>
            <w:proofErr w:type="spellEnd"/>
          </w:p>
        </w:tc>
        <w:tc>
          <w:tcPr>
            <w:tcW w:w="6047" w:type="dxa"/>
            <w:shd w:val="clear" w:color="auto" w:fill="auto"/>
          </w:tcPr>
          <w:p w14:paraId="3865A813" w14:textId="77777777" w:rsidR="00FF2820" w:rsidRPr="00345D68" w:rsidRDefault="00FF2820" w:rsidP="00FF40AB">
            <w:pPr>
              <w:spacing w:after="0" w:line="240" w:lineRule="auto"/>
              <w:jc w:val="both"/>
              <w:rPr>
                <w:lang w:val="nl-BE"/>
              </w:rPr>
            </w:pPr>
            <w:r>
              <w:rPr>
                <w:lang w:val="nl-BE"/>
              </w:rPr>
              <w:t>Geen opmerkingen.</w:t>
            </w:r>
          </w:p>
        </w:tc>
        <w:tc>
          <w:tcPr>
            <w:tcW w:w="5812" w:type="dxa"/>
            <w:gridSpan w:val="2"/>
            <w:shd w:val="clear" w:color="auto" w:fill="auto"/>
          </w:tcPr>
          <w:p w14:paraId="2EEDBB58" w14:textId="77777777" w:rsidR="00FF2820" w:rsidRPr="00345D68" w:rsidRDefault="00FF2820" w:rsidP="00FF40AB">
            <w:pPr>
              <w:spacing w:after="0" w:line="240" w:lineRule="auto"/>
              <w:jc w:val="both"/>
              <w:rPr>
                <w:lang w:val="fr-FR"/>
              </w:rPr>
            </w:pPr>
            <w:r>
              <w:rPr>
                <w:lang w:val="fr-FR"/>
              </w:rPr>
              <w:t>Pas de remarques.</w:t>
            </w:r>
          </w:p>
        </w:tc>
      </w:tr>
      <w:tr w:rsidR="00FF2820" w:rsidRPr="007C2924" w14:paraId="7BE1B1BC" w14:textId="77777777" w:rsidTr="007C2924">
        <w:trPr>
          <w:trHeight w:val="416"/>
        </w:trPr>
        <w:tc>
          <w:tcPr>
            <w:tcW w:w="2122" w:type="dxa"/>
          </w:tcPr>
          <w:p w14:paraId="2D4FC12E" w14:textId="77777777" w:rsidR="00FF2820" w:rsidRDefault="00FF2820" w:rsidP="00FF40AB">
            <w:pPr>
              <w:spacing w:after="0" w:line="240" w:lineRule="auto"/>
              <w:jc w:val="both"/>
            </w:pPr>
            <w:proofErr w:type="spellStart"/>
            <w:r>
              <w:t>RvSt</w:t>
            </w:r>
            <w:proofErr w:type="spellEnd"/>
            <w:r>
              <w:t xml:space="preserve"> 2</w:t>
            </w:r>
          </w:p>
        </w:tc>
        <w:tc>
          <w:tcPr>
            <w:tcW w:w="6047" w:type="dxa"/>
            <w:shd w:val="clear" w:color="auto" w:fill="auto"/>
          </w:tcPr>
          <w:p w14:paraId="67B2D302" w14:textId="77777777" w:rsidR="00FF2820" w:rsidRPr="00345D68" w:rsidRDefault="00FF2820" w:rsidP="00FF40AB">
            <w:pPr>
              <w:spacing w:after="0" w:line="240" w:lineRule="auto"/>
              <w:jc w:val="both"/>
              <w:rPr>
                <w:lang w:val="nl-BE"/>
              </w:rPr>
            </w:pPr>
            <w:r w:rsidRPr="00345D68">
              <w:rPr>
                <w:lang w:val="nl-BE"/>
              </w:rPr>
              <w:t>1. Het is niet duidelijk waarom dit artikel niet voorziet in een gevangenisstraf, terwijl het ontworpen artikel 7:232, dat op alle punten hetzelfde is en krachtens het voorgestelde artikel 15:34 ook van toepassing is op de SE, dat wel doet.</w:t>
            </w:r>
          </w:p>
          <w:p w14:paraId="5255D0A3" w14:textId="77777777" w:rsidR="00FF2820" w:rsidRPr="00345D68" w:rsidRDefault="00FF2820" w:rsidP="00FF40AB">
            <w:pPr>
              <w:spacing w:after="0" w:line="240" w:lineRule="auto"/>
              <w:jc w:val="both"/>
              <w:rPr>
                <w:lang w:val="nl-BE"/>
              </w:rPr>
            </w:pPr>
            <w:r w:rsidRPr="00345D68">
              <w:rPr>
                <w:lang w:val="nl-BE"/>
              </w:rPr>
              <w:t>Die discriminatie moet worden weggewerkt.</w:t>
            </w:r>
          </w:p>
          <w:p w14:paraId="4131E00C" w14:textId="77777777" w:rsidR="00FF2820" w:rsidRDefault="00FF2820" w:rsidP="00FF40AB">
            <w:pPr>
              <w:spacing w:after="0" w:line="240" w:lineRule="auto"/>
              <w:jc w:val="both"/>
              <w:rPr>
                <w:lang w:val="nl-BE"/>
              </w:rPr>
            </w:pPr>
            <w:r w:rsidRPr="00345D68">
              <w:rPr>
                <w:lang w:val="nl-BE"/>
              </w:rPr>
              <w:t>2. De verwijzing in punt 1° naar het ontworpen artikel 7:183 is verkeerd en moet gecorrigeerd worden. 3. De verwijzing in punt 2° naar het ontworpen artikel 7:198 is verkeerd en moet gecorrigeerd worden.</w:t>
            </w:r>
          </w:p>
        </w:tc>
        <w:tc>
          <w:tcPr>
            <w:tcW w:w="5812" w:type="dxa"/>
            <w:gridSpan w:val="2"/>
            <w:shd w:val="clear" w:color="auto" w:fill="auto"/>
          </w:tcPr>
          <w:p w14:paraId="316CF63D" w14:textId="77777777" w:rsidR="00FF2820" w:rsidRPr="00345D68" w:rsidRDefault="00FF2820" w:rsidP="00FF40AB">
            <w:pPr>
              <w:spacing w:after="0" w:line="240" w:lineRule="auto"/>
              <w:jc w:val="both"/>
              <w:rPr>
                <w:lang w:val="fr-FR"/>
              </w:rPr>
            </w:pPr>
            <w:r w:rsidRPr="00345D68">
              <w:rPr>
                <w:lang w:val="fr-FR"/>
              </w:rPr>
              <w:t xml:space="preserve">1. La raison pour laquelle cet article ne prévoit pas de peine d’emprisonnement alors que l’article </w:t>
            </w:r>
            <w:proofErr w:type="gramStart"/>
            <w:r w:rsidRPr="00345D68">
              <w:rPr>
                <w:lang w:val="fr-FR"/>
              </w:rPr>
              <w:t>7:</w:t>
            </w:r>
            <w:proofErr w:type="gramEnd"/>
            <w:r w:rsidRPr="00345D68">
              <w:rPr>
                <w:lang w:val="fr-FR"/>
              </w:rPr>
              <w:t>232 en projet, similaire en tous points et également applicable à la SE en vertu de l’article 15:34 proposé, en prévoit une, n’apparaît pas.</w:t>
            </w:r>
          </w:p>
          <w:p w14:paraId="3C2F5FBF" w14:textId="77777777" w:rsidR="00FF2820" w:rsidRPr="00345D68" w:rsidRDefault="00FF2820" w:rsidP="00FF40AB">
            <w:pPr>
              <w:spacing w:after="0" w:line="240" w:lineRule="auto"/>
              <w:jc w:val="both"/>
              <w:rPr>
                <w:lang w:val="fr-FR"/>
              </w:rPr>
            </w:pPr>
            <w:r w:rsidRPr="00345D68">
              <w:rPr>
                <w:lang w:val="fr-FR"/>
              </w:rPr>
              <w:t>Cette discrimination sera éliminée.</w:t>
            </w:r>
          </w:p>
          <w:p w14:paraId="0078F736" w14:textId="77777777" w:rsidR="00FF2820" w:rsidRPr="00345D68" w:rsidRDefault="00FF2820" w:rsidP="00FF40AB">
            <w:pPr>
              <w:spacing w:after="0" w:line="240" w:lineRule="auto"/>
              <w:jc w:val="both"/>
              <w:rPr>
                <w:lang w:val="fr-FR"/>
              </w:rPr>
            </w:pPr>
            <w:r w:rsidRPr="00345D68">
              <w:rPr>
                <w:lang w:val="fr-FR"/>
              </w:rPr>
              <w:t xml:space="preserve">2. Au 1°, la référence à l’article </w:t>
            </w:r>
            <w:proofErr w:type="gramStart"/>
            <w:r w:rsidRPr="00345D68">
              <w:rPr>
                <w:lang w:val="fr-FR"/>
              </w:rPr>
              <w:t>7:</w:t>
            </w:r>
            <w:proofErr w:type="gramEnd"/>
            <w:r w:rsidRPr="00345D68">
              <w:rPr>
                <w:lang w:val="fr-FR"/>
              </w:rPr>
              <w:t>183 en projet est erronée et sera corrigée.</w:t>
            </w:r>
          </w:p>
          <w:p w14:paraId="3BB07768" w14:textId="77777777" w:rsidR="00FF2820" w:rsidRPr="00345D68" w:rsidRDefault="00FF2820" w:rsidP="00FF40AB">
            <w:pPr>
              <w:spacing w:after="0" w:line="240" w:lineRule="auto"/>
              <w:jc w:val="both"/>
              <w:rPr>
                <w:lang w:val="fr-FR"/>
              </w:rPr>
            </w:pPr>
            <w:r w:rsidRPr="00345D68">
              <w:rPr>
                <w:lang w:val="fr-FR"/>
              </w:rPr>
              <w:t xml:space="preserve">3. Au 2°, la référence à l’article </w:t>
            </w:r>
            <w:proofErr w:type="gramStart"/>
            <w:r w:rsidRPr="00345D68">
              <w:rPr>
                <w:lang w:val="fr-FR"/>
              </w:rPr>
              <w:t>7:</w:t>
            </w:r>
            <w:proofErr w:type="gramEnd"/>
            <w:r w:rsidRPr="00345D68">
              <w:rPr>
                <w:lang w:val="fr-FR"/>
              </w:rPr>
              <w:t>198 en projet est erronée et sera corrigée.</w:t>
            </w:r>
          </w:p>
        </w:tc>
      </w:tr>
      <w:tr w:rsidR="00FF2820" w:rsidRPr="007C2924" w14:paraId="36DB62C4" w14:textId="77777777" w:rsidTr="007C2924">
        <w:trPr>
          <w:trHeight w:val="416"/>
        </w:trPr>
        <w:tc>
          <w:tcPr>
            <w:tcW w:w="2122" w:type="dxa"/>
          </w:tcPr>
          <w:p w14:paraId="1C6C869D" w14:textId="77777777" w:rsidR="00FF2820" w:rsidRPr="00746C5F" w:rsidRDefault="00FF2820" w:rsidP="00746C5F">
            <w:pPr>
              <w:pStyle w:val="Kop1"/>
            </w:pPr>
            <w:bookmarkStart w:id="1" w:name="_Amendement_315"/>
            <w:bookmarkStart w:id="2" w:name="_Amendement_315_1"/>
            <w:bookmarkStart w:id="3" w:name="_Amendement_315_2"/>
            <w:bookmarkStart w:id="4" w:name="_Amendement_315_3"/>
            <w:bookmarkStart w:id="5" w:name="_Amendement_315_4"/>
            <w:bookmarkStart w:id="6" w:name="_Amendement_315_5"/>
            <w:bookmarkEnd w:id="1"/>
            <w:bookmarkEnd w:id="2"/>
            <w:bookmarkEnd w:id="3"/>
            <w:bookmarkEnd w:id="4"/>
            <w:bookmarkEnd w:id="5"/>
            <w:bookmarkEnd w:id="6"/>
            <w:proofErr w:type="spellStart"/>
            <w:r w:rsidRPr="00746C5F">
              <w:t>Amendement</w:t>
            </w:r>
            <w:proofErr w:type="spellEnd"/>
            <w:r w:rsidRPr="00746C5F">
              <w:t xml:space="preserve"> 315</w:t>
            </w:r>
          </w:p>
        </w:tc>
        <w:tc>
          <w:tcPr>
            <w:tcW w:w="6047" w:type="dxa"/>
            <w:shd w:val="clear" w:color="auto" w:fill="auto"/>
          </w:tcPr>
          <w:p w14:paraId="0A74FEB1" w14:textId="77777777" w:rsidR="00FF2820" w:rsidRPr="00746C5F" w:rsidRDefault="00FF2820" w:rsidP="00FF40AB">
            <w:pPr>
              <w:autoSpaceDE w:val="0"/>
              <w:autoSpaceDN w:val="0"/>
              <w:adjustRightInd w:val="0"/>
              <w:spacing w:after="0" w:line="240" w:lineRule="auto"/>
              <w:jc w:val="both"/>
              <w:rPr>
                <w:rFonts w:cstheme="minorHAnsi"/>
                <w:bCs/>
                <w:lang w:val="nl-BE"/>
              </w:rPr>
            </w:pPr>
            <w:r w:rsidRPr="00746C5F">
              <w:rPr>
                <w:rFonts w:cstheme="minorHAnsi"/>
                <w:bCs/>
                <w:lang w:val="nl-BE"/>
              </w:rPr>
              <w:t>In het voorgestelde artikel 16:34, de volgende wijzigingen aanbrengen:</w:t>
            </w:r>
          </w:p>
          <w:p w14:paraId="455B94FB" w14:textId="77777777" w:rsidR="00FF2820" w:rsidRPr="00746C5F" w:rsidRDefault="00FF2820" w:rsidP="00FF40AB">
            <w:pPr>
              <w:autoSpaceDE w:val="0"/>
              <w:autoSpaceDN w:val="0"/>
              <w:adjustRightInd w:val="0"/>
              <w:spacing w:after="0" w:line="240" w:lineRule="auto"/>
              <w:jc w:val="both"/>
              <w:rPr>
                <w:rFonts w:cstheme="minorHAnsi"/>
                <w:bCs/>
                <w:lang w:val="nl-BE"/>
              </w:rPr>
            </w:pPr>
          </w:p>
          <w:p w14:paraId="656F425D" w14:textId="77777777" w:rsidR="00FF2820" w:rsidRPr="00746C5F" w:rsidRDefault="00FF2820" w:rsidP="00FF40AB">
            <w:pPr>
              <w:autoSpaceDE w:val="0"/>
              <w:autoSpaceDN w:val="0"/>
              <w:adjustRightInd w:val="0"/>
              <w:spacing w:after="0" w:line="240" w:lineRule="auto"/>
              <w:jc w:val="both"/>
              <w:rPr>
                <w:rFonts w:cstheme="minorHAnsi"/>
                <w:bCs/>
                <w:lang w:val="nl-BE"/>
              </w:rPr>
            </w:pPr>
            <w:r w:rsidRPr="00746C5F">
              <w:rPr>
                <w:rFonts w:cstheme="minorHAnsi"/>
                <w:bCs/>
                <w:lang w:val="nl-BE"/>
              </w:rPr>
              <w:t xml:space="preserve">1° in de inleidende zin, de woorden </w:t>
            </w:r>
            <w:r w:rsidRPr="00746C5F">
              <w:rPr>
                <w:rFonts w:cstheme="minorHAnsi"/>
                <w:iCs/>
                <w:lang w:val="nl-BE"/>
              </w:rPr>
              <w:t xml:space="preserve">“en bovendien met gevangenisstraf van één maand tot en jaar kunnen” </w:t>
            </w:r>
            <w:r w:rsidRPr="00746C5F">
              <w:rPr>
                <w:rFonts w:cstheme="minorHAnsi"/>
                <w:bCs/>
                <w:lang w:val="nl-BE"/>
              </w:rPr>
              <w:t xml:space="preserve">invoegen tussen de woorden </w:t>
            </w:r>
            <w:r w:rsidRPr="00746C5F">
              <w:rPr>
                <w:rFonts w:cstheme="minorHAnsi"/>
                <w:lang w:val="nl-BE"/>
              </w:rPr>
              <w:t xml:space="preserve">“tot tienduizend euro” </w:t>
            </w:r>
            <w:r w:rsidRPr="00746C5F">
              <w:rPr>
                <w:rFonts w:cstheme="minorHAnsi"/>
                <w:bCs/>
                <w:lang w:val="nl-BE"/>
              </w:rPr>
              <w:t xml:space="preserve">en de woorden </w:t>
            </w:r>
            <w:r w:rsidRPr="00746C5F">
              <w:rPr>
                <w:rFonts w:cstheme="minorHAnsi"/>
                <w:lang w:val="nl-BE"/>
              </w:rPr>
              <w:t>“worden gestraft”</w:t>
            </w:r>
            <w:r w:rsidRPr="00746C5F">
              <w:rPr>
                <w:rFonts w:cstheme="minorHAnsi"/>
                <w:bCs/>
                <w:lang w:val="nl-BE"/>
              </w:rPr>
              <w:t>;</w:t>
            </w:r>
          </w:p>
          <w:p w14:paraId="7851DA2D" w14:textId="77777777" w:rsidR="00FF2820" w:rsidRPr="00746C5F" w:rsidRDefault="00FF2820" w:rsidP="00FF40AB">
            <w:pPr>
              <w:autoSpaceDE w:val="0"/>
              <w:autoSpaceDN w:val="0"/>
              <w:adjustRightInd w:val="0"/>
              <w:spacing w:after="0" w:line="240" w:lineRule="auto"/>
              <w:jc w:val="both"/>
              <w:rPr>
                <w:rFonts w:cstheme="minorHAnsi"/>
                <w:bCs/>
                <w:lang w:val="nl-BE"/>
              </w:rPr>
            </w:pPr>
          </w:p>
          <w:p w14:paraId="772BDBDE" w14:textId="77777777" w:rsidR="00FF2820" w:rsidRPr="00746C5F" w:rsidRDefault="00FF2820" w:rsidP="00FF40AB">
            <w:pPr>
              <w:autoSpaceDE w:val="0"/>
              <w:autoSpaceDN w:val="0"/>
              <w:adjustRightInd w:val="0"/>
              <w:spacing w:after="0" w:line="240" w:lineRule="auto"/>
              <w:jc w:val="both"/>
              <w:rPr>
                <w:rFonts w:cstheme="minorHAnsi"/>
                <w:bCs/>
                <w:lang w:val="nl-BE"/>
              </w:rPr>
            </w:pPr>
            <w:r w:rsidRPr="00746C5F">
              <w:rPr>
                <w:rFonts w:cstheme="minorHAnsi"/>
                <w:bCs/>
                <w:lang w:val="nl-BE"/>
              </w:rPr>
              <w:t xml:space="preserve">2° in de bepaling onder 1° het woord </w:t>
            </w:r>
            <w:r w:rsidRPr="00746C5F">
              <w:rPr>
                <w:rFonts w:cstheme="minorHAnsi"/>
                <w:lang w:val="nl-BE"/>
              </w:rPr>
              <w:t xml:space="preserve">“7:183” </w:t>
            </w:r>
            <w:r w:rsidRPr="00746C5F">
              <w:rPr>
                <w:rFonts w:cstheme="minorHAnsi"/>
                <w:bCs/>
                <w:lang w:val="nl-BE"/>
              </w:rPr>
              <w:t xml:space="preserve">vervangen door het woord </w:t>
            </w:r>
            <w:r w:rsidRPr="00746C5F">
              <w:rPr>
                <w:rFonts w:cstheme="minorHAnsi"/>
                <w:iCs/>
                <w:lang w:val="nl-BE"/>
              </w:rPr>
              <w:t>“7:197”</w:t>
            </w:r>
            <w:r w:rsidRPr="00746C5F">
              <w:rPr>
                <w:rFonts w:cstheme="minorHAnsi"/>
                <w:bCs/>
                <w:lang w:val="nl-BE"/>
              </w:rPr>
              <w:t>;</w:t>
            </w:r>
          </w:p>
          <w:p w14:paraId="689EC6A9" w14:textId="77777777" w:rsidR="00FF2820" w:rsidRPr="00746C5F" w:rsidRDefault="00FF2820" w:rsidP="00FF40AB">
            <w:pPr>
              <w:autoSpaceDE w:val="0"/>
              <w:autoSpaceDN w:val="0"/>
              <w:adjustRightInd w:val="0"/>
              <w:spacing w:after="0" w:line="240" w:lineRule="auto"/>
              <w:jc w:val="both"/>
              <w:rPr>
                <w:rFonts w:cstheme="minorHAnsi"/>
                <w:bCs/>
                <w:lang w:val="nl-BE"/>
              </w:rPr>
            </w:pPr>
          </w:p>
          <w:p w14:paraId="2E383AB4" w14:textId="77777777" w:rsidR="00FF2820" w:rsidRPr="00746C5F" w:rsidRDefault="00FF2820" w:rsidP="00FF40AB">
            <w:pPr>
              <w:autoSpaceDE w:val="0"/>
              <w:autoSpaceDN w:val="0"/>
              <w:adjustRightInd w:val="0"/>
              <w:spacing w:after="0" w:line="240" w:lineRule="auto"/>
              <w:jc w:val="both"/>
              <w:rPr>
                <w:rFonts w:cstheme="minorHAnsi"/>
                <w:bCs/>
                <w:lang w:val="nl-BE"/>
              </w:rPr>
            </w:pPr>
            <w:r w:rsidRPr="00746C5F">
              <w:rPr>
                <w:rFonts w:cstheme="minorHAnsi"/>
                <w:bCs/>
                <w:lang w:val="nl-BE"/>
              </w:rPr>
              <w:t xml:space="preserve">3° in de bepaling onder 2°, de woorden </w:t>
            </w:r>
            <w:r w:rsidRPr="00746C5F">
              <w:rPr>
                <w:rFonts w:cstheme="minorHAnsi"/>
                <w:lang w:val="nl-BE"/>
              </w:rPr>
              <w:t xml:space="preserve">“artikel 7:198” </w:t>
            </w:r>
            <w:r w:rsidRPr="00746C5F">
              <w:rPr>
                <w:rFonts w:cstheme="minorHAnsi"/>
                <w:bCs/>
                <w:lang w:val="nl-BE"/>
              </w:rPr>
              <w:t xml:space="preserve">vervangen door de woorden </w:t>
            </w:r>
            <w:r w:rsidRPr="00746C5F">
              <w:rPr>
                <w:rFonts w:cstheme="minorHAnsi"/>
                <w:iCs/>
                <w:lang w:val="nl-BE"/>
              </w:rPr>
              <w:t>“artikel 7:212”</w:t>
            </w:r>
            <w:r w:rsidRPr="00746C5F">
              <w:rPr>
                <w:rFonts w:cstheme="minorHAnsi"/>
                <w:bCs/>
                <w:lang w:val="nl-BE"/>
              </w:rPr>
              <w:t>.</w:t>
            </w:r>
          </w:p>
          <w:p w14:paraId="3E30E827" w14:textId="77777777" w:rsidR="00FF2820" w:rsidRPr="00746C5F" w:rsidRDefault="00FF2820" w:rsidP="00FF40AB">
            <w:pPr>
              <w:autoSpaceDE w:val="0"/>
              <w:autoSpaceDN w:val="0"/>
              <w:adjustRightInd w:val="0"/>
              <w:spacing w:after="0" w:line="240" w:lineRule="auto"/>
              <w:jc w:val="both"/>
              <w:rPr>
                <w:rFonts w:cstheme="minorHAnsi"/>
                <w:bCs/>
                <w:lang w:val="nl-BE"/>
              </w:rPr>
            </w:pPr>
          </w:p>
          <w:p w14:paraId="7546F50F" w14:textId="77777777" w:rsidR="00FF2820" w:rsidRPr="00746C5F" w:rsidRDefault="00FF2820" w:rsidP="00FF40AB">
            <w:pPr>
              <w:autoSpaceDE w:val="0"/>
              <w:autoSpaceDN w:val="0"/>
              <w:adjustRightInd w:val="0"/>
              <w:spacing w:after="0" w:line="240" w:lineRule="auto"/>
              <w:jc w:val="both"/>
              <w:rPr>
                <w:rFonts w:cstheme="minorHAnsi"/>
                <w:lang w:val="nl-BE"/>
              </w:rPr>
            </w:pPr>
            <w:r w:rsidRPr="00746C5F">
              <w:rPr>
                <w:rFonts w:cstheme="minorHAnsi"/>
                <w:lang w:val="nl-BE"/>
              </w:rPr>
              <w:t>VERANTWOORDING</w:t>
            </w:r>
          </w:p>
          <w:p w14:paraId="3E3438EF" w14:textId="77777777" w:rsidR="00FF2820" w:rsidRPr="00746C5F" w:rsidRDefault="00FF2820" w:rsidP="00FF40AB">
            <w:pPr>
              <w:autoSpaceDE w:val="0"/>
              <w:autoSpaceDN w:val="0"/>
              <w:adjustRightInd w:val="0"/>
              <w:spacing w:after="0" w:line="240" w:lineRule="auto"/>
              <w:jc w:val="both"/>
              <w:rPr>
                <w:rFonts w:cstheme="minorHAnsi"/>
                <w:lang w:val="nl-BE"/>
              </w:rPr>
            </w:pPr>
          </w:p>
          <w:p w14:paraId="747905A8" w14:textId="77777777" w:rsidR="00FF2820" w:rsidRPr="00746C5F" w:rsidRDefault="00FF2820" w:rsidP="00FF40AB">
            <w:pPr>
              <w:spacing w:after="0" w:line="240" w:lineRule="auto"/>
              <w:jc w:val="both"/>
              <w:rPr>
                <w:rFonts w:cstheme="minorHAnsi"/>
                <w:lang w:val="nl-BE"/>
              </w:rPr>
            </w:pPr>
            <w:r w:rsidRPr="00746C5F">
              <w:rPr>
                <w:rFonts w:cstheme="minorHAnsi"/>
                <w:lang w:val="nl-BE"/>
              </w:rPr>
              <w:t>Dit amendement corrigeert materiële vergissingen.</w:t>
            </w:r>
          </w:p>
        </w:tc>
        <w:tc>
          <w:tcPr>
            <w:tcW w:w="5812" w:type="dxa"/>
            <w:gridSpan w:val="2"/>
            <w:shd w:val="clear" w:color="auto" w:fill="auto"/>
          </w:tcPr>
          <w:p w14:paraId="61DB0041" w14:textId="77777777" w:rsidR="00FF2820" w:rsidRPr="00746C5F" w:rsidRDefault="00FF2820" w:rsidP="00FF40AB">
            <w:pPr>
              <w:autoSpaceDE w:val="0"/>
              <w:autoSpaceDN w:val="0"/>
              <w:adjustRightInd w:val="0"/>
              <w:spacing w:after="0" w:line="240" w:lineRule="auto"/>
              <w:jc w:val="both"/>
              <w:rPr>
                <w:rFonts w:cstheme="minorHAnsi"/>
                <w:bCs/>
                <w:lang w:val="fr-FR"/>
              </w:rPr>
            </w:pPr>
            <w:r w:rsidRPr="00746C5F">
              <w:rPr>
                <w:rFonts w:cstheme="minorHAnsi"/>
                <w:bCs/>
                <w:lang w:val="fr-FR"/>
              </w:rPr>
              <w:t xml:space="preserve">Dans l’article </w:t>
            </w:r>
            <w:proofErr w:type="gramStart"/>
            <w:r w:rsidRPr="00746C5F">
              <w:rPr>
                <w:rFonts w:cstheme="minorHAnsi"/>
                <w:bCs/>
                <w:lang w:val="fr-FR"/>
              </w:rPr>
              <w:t>16:</w:t>
            </w:r>
            <w:proofErr w:type="gramEnd"/>
            <w:r w:rsidRPr="00746C5F">
              <w:rPr>
                <w:rFonts w:cstheme="minorHAnsi"/>
                <w:bCs/>
                <w:lang w:val="fr-FR"/>
              </w:rPr>
              <w:t>34 proposé, apporter les modifications suivantes:</w:t>
            </w:r>
          </w:p>
          <w:p w14:paraId="29A5B221" w14:textId="77777777" w:rsidR="00FF2820" w:rsidRPr="00746C5F" w:rsidRDefault="00FF2820" w:rsidP="00FF40AB">
            <w:pPr>
              <w:autoSpaceDE w:val="0"/>
              <w:autoSpaceDN w:val="0"/>
              <w:adjustRightInd w:val="0"/>
              <w:spacing w:after="0" w:line="240" w:lineRule="auto"/>
              <w:jc w:val="both"/>
              <w:rPr>
                <w:rFonts w:cstheme="minorHAnsi"/>
                <w:bCs/>
                <w:lang w:val="fr-FR"/>
              </w:rPr>
            </w:pPr>
          </w:p>
          <w:p w14:paraId="54AF60C6" w14:textId="77777777" w:rsidR="00FF2820" w:rsidRPr="00746C5F" w:rsidRDefault="00FF2820" w:rsidP="00FF40AB">
            <w:pPr>
              <w:autoSpaceDE w:val="0"/>
              <w:autoSpaceDN w:val="0"/>
              <w:adjustRightInd w:val="0"/>
              <w:spacing w:after="0" w:line="240" w:lineRule="auto"/>
              <w:jc w:val="both"/>
              <w:rPr>
                <w:rFonts w:cstheme="minorHAnsi"/>
                <w:bCs/>
                <w:lang w:val="fr-FR"/>
              </w:rPr>
            </w:pPr>
            <w:r w:rsidRPr="00746C5F">
              <w:rPr>
                <w:rFonts w:cstheme="minorHAnsi"/>
                <w:bCs/>
                <w:lang w:val="fr-FR"/>
              </w:rPr>
              <w:t xml:space="preserve">1° compléter le phrase introductive par les mots </w:t>
            </w:r>
            <w:r w:rsidRPr="00746C5F">
              <w:rPr>
                <w:rFonts w:cstheme="minorHAnsi"/>
                <w:iCs/>
                <w:lang w:val="fr-FR"/>
              </w:rPr>
              <w:t>“et pourront en outre être punis d’un emprisonnement d’un mois à un an</w:t>
            </w:r>
            <w:proofErr w:type="gramStart"/>
            <w:r w:rsidRPr="00746C5F">
              <w:rPr>
                <w:rFonts w:cstheme="minorHAnsi"/>
                <w:iCs/>
                <w:lang w:val="fr-FR"/>
              </w:rPr>
              <w:t>”</w:t>
            </w:r>
            <w:r w:rsidRPr="00746C5F">
              <w:rPr>
                <w:rFonts w:cstheme="minorHAnsi"/>
                <w:bCs/>
                <w:lang w:val="fr-FR"/>
              </w:rPr>
              <w:t>;</w:t>
            </w:r>
            <w:proofErr w:type="gramEnd"/>
          </w:p>
          <w:p w14:paraId="67205C07" w14:textId="77777777" w:rsidR="00FF2820" w:rsidRPr="00746C5F" w:rsidRDefault="00FF2820" w:rsidP="00FF40AB">
            <w:pPr>
              <w:autoSpaceDE w:val="0"/>
              <w:autoSpaceDN w:val="0"/>
              <w:adjustRightInd w:val="0"/>
              <w:spacing w:after="0" w:line="240" w:lineRule="auto"/>
              <w:jc w:val="both"/>
              <w:rPr>
                <w:rFonts w:cstheme="minorHAnsi"/>
                <w:bCs/>
                <w:lang w:val="fr-FR"/>
              </w:rPr>
            </w:pPr>
          </w:p>
          <w:p w14:paraId="5F77590D" w14:textId="77777777" w:rsidR="00FF2820" w:rsidRPr="00746C5F" w:rsidRDefault="00FF2820" w:rsidP="00FF40AB">
            <w:pPr>
              <w:autoSpaceDE w:val="0"/>
              <w:autoSpaceDN w:val="0"/>
              <w:adjustRightInd w:val="0"/>
              <w:spacing w:after="0" w:line="240" w:lineRule="auto"/>
              <w:jc w:val="both"/>
              <w:rPr>
                <w:rFonts w:cstheme="minorHAnsi"/>
                <w:bCs/>
                <w:lang w:val="fr-FR"/>
              </w:rPr>
            </w:pPr>
            <w:r w:rsidRPr="00746C5F">
              <w:rPr>
                <w:rFonts w:cstheme="minorHAnsi"/>
                <w:bCs/>
                <w:lang w:val="fr-FR"/>
              </w:rPr>
              <w:t xml:space="preserve">2° au 1°, remplacer le mot </w:t>
            </w:r>
            <w:r w:rsidRPr="00746C5F">
              <w:rPr>
                <w:rFonts w:cstheme="minorHAnsi"/>
                <w:lang w:val="fr-FR"/>
              </w:rPr>
              <w:t>“</w:t>
            </w:r>
            <w:proofErr w:type="gramStart"/>
            <w:r w:rsidRPr="00746C5F">
              <w:rPr>
                <w:rFonts w:cstheme="minorHAnsi"/>
                <w:lang w:val="fr-FR"/>
              </w:rPr>
              <w:t>7:</w:t>
            </w:r>
            <w:proofErr w:type="gramEnd"/>
            <w:r w:rsidRPr="00746C5F">
              <w:rPr>
                <w:rFonts w:cstheme="minorHAnsi"/>
                <w:lang w:val="fr-FR"/>
              </w:rPr>
              <w:t xml:space="preserve">183” </w:t>
            </w:r>
            <w:r w:rsidRPr="00746C5F">
              <w:rPr>
                <w:rFonts w:cstheme="minorHAnsi"/>
                <w:bCs/>
                <w:lang w:val="fr-FR"/>
              </w:rPr>
              <w:t xml:space="preserve">par le mot </w:t>
            </w:r>
            <w:r w:rsidRPr="00746C5F">
              <w:rPr>
                <w:rFonts w:cstheme="minorHAnsi"/>
                <w:iCs/>
                <w:lang w:val="fr-FR"/>
              </w:rPr>
              <w:t>“7:197”</w:t>
            </w:r>
            <w:r w:rsidRPr="00746C5F">
              <w:rPr>
                <w:rFonts w:cstheme="minorHAnsi"/>
                <w:bCs/>
                <w:lang w:val="fr-FR"/>
              </w:rPr>
              <w:t>;</w:t>
            </w:r>
          </w:p>
          <w:p w14:paraId="00A01FC5" w14:textId="77777777" w:rsidR="00FF2820" w:rsidRPr="00746C5F" w:rsidRDefault="00FF2820" w:rsidP="00FF40AB">
            <w:pPr>
              <w:autoSpaceDE w:val="0"/>
              <w:autoSpaceDN w:val="0"/>
              <w:adjustRightInd w:val="0"/>
              <w:spacing w:after="0" w:line="240" w:lineRule="auto"/>
              <w:jc w:val="both"/>
              <w:rPr>
                <w:rFonts w:cstheme="minorHAnsi"/>
                <w:bCs/>
                <w:lang w:val="fr-FR"/>
              </w:rPr>
            </w:pPr>
          </w:p>
          <w:p w14:paraId="19EF6617" w14:textId="77777777" w:rsidR="00FF2820" w:rsidRPr="00746C5F" w:rsidRDefault="00FF2820" w:rsidP="00FF40AB">
            <w:pPr>
              <w:autoSpaceDE w:val="0"/>
              <w:autoSpaceDN w:val="0"/>
              <w:adjustRightInd w:val="0"/>
              <w:spacing w:after="0" w:line="240" w:lineRule="auto"/>
              <w:jc w:val="both"/>
              <w:rPr>
                <w:rFonts w:cstheme="minorHAnsi"/>
                <w:bCs/>
                <w:lang w:val="fr-FR"/>
              </w:rPr>
            </w:pPr>
            <w:r w:rsidRPr="00746C5F">
              <w:rPr>
                <w:rFonts w:cstheme="minorHAnsi"/>
                <w:bCs/>
                <w:lang w:val="fr-FR"/>
              </w:rPr>
              <w:t xml:space="preserve">3° au 2°, remplacer les mots </w:t>
            </w:r>
            <w:r w:rsidRPr="00746C5F">
              <w:rPr>
                <w:rFonts w:cstheme="minorHAnsi"/>
                <w:lang w:val="fr-FR"/>
              </w:rPr>
              <w:t xml:space="preserve">“l’article </w:t>
            </w:r>
            <w:proofErr w:type="gramStart"/>
            <w:r w:rsidRPr="00746C5F">
              <w:rPr>
                <w:rFonts w:cstheme="minorHAnsi"/>
                <w:lang w:val="fr-FR"/>
              </w:rPr>
              <w:t>7:</w:t>
            </w:r>
            <w:proofErr w:type="gramEnd"/>
            <w:r w:rsidRPr="00746C5F">
              <w:rPr>
                <w:rFonts w:cstheme="minorHAnsi"/>
                <w:lang w:val="fr-FR"/>
              </w:rPr>
              <w:t xml:space="preserve">198” </w:t>
            </w:r>
            <w:r w:rsidRPr="00746C5F">
              <w:rPr>
                <w:rFonts w:cstheme="minorHAnsi"/>
                <w:bCs/>
                <w:lang w:val="fr-FR"/>
              </w:rPr>
              <w:t xml:space="preserve">par les mots </w:t>
            </w:r>
            <w:r w:rsidRPr="00746C5F">
              <w:rPr>
                <w:rFonts w:cstheme="minorHAnsi"/>
                <w:iCs/>
                <w:lang w:val="fr-FR"/>
              </w:rPr>
              <w:t>“l’article 7:212”</w:t>
            </w:r>
            <w:r w:rsidRPr="00746C5F">
              <w:rPr>
                <w:rFonts w:cstheme="minorHAnsi"/>
                <w:bCs/>
                <w:lang w:val="fr-FR"/>
              </w:rPr>
              <w:t>.</w:t>
            </w:r>
          </w:p>
          <w:p w14:paraId="102C4991" w14:textId="77777777" w:rsidR="00FF2820" w:rsidRPr="00746C5F" w:rsidRDefault="00FF2820" w:rsidP="00FF40AB">
            <w:pPr>
              <w:autoSpaceDE w:val="0"/>
              <w:autoSpaceDN w:val="0"/>
              <w:adjustRightInd w:val="0"/>
              <w:spacing w:after="0" w:line="240" w:lineRule="auto"/>
              <w:jc w:val="both"/>
              <w:rPr>
                <w:rFonts w:cstheme="minorHAnsi"/>
                <w:bCs/>
                <w:lang w:val="fr-FR"/>
              </w:rPr>
            </w:pPr>
          </w:p>
          <w:p w14:paraId="0E0EEA0D" w14:textId="77777777" w:rsidR="00FF2820" w:rsidRPr="00746C5F" w:rsidRDefault="00FF2820" w:rsidP="00FF40AB">
            <w:pPr>
              <w:autoSpaceDE w:val="0"/>
              <w:autoSpaceDN w:val="0"/>
              <w:adjustRightInd w:val="0"/>
              <w:spacing w:after="0" w:line="240" w:lineRule="auto"/>
              <w:jc w:val="both"/>
              <w:rPr>
                <w:rFonts w:cstheme="minorHAnsi"/>
                <w:lang w:val="fr-FR"/>
              </w:rPr>
            </w:pPr>
            <w:r w:rsidRPr="00746C5F">
              <w:rPr>
                <w:rFonts w:cstheme="minorHAnsi"/>
                <w:lang w:val="fr-FR"/>
              </w:rPr>
              <w:t>JUSTIFICATION</w:t>
            </w:r>
          </w:p>
          <w:p w14:paraId="6D35B08D" w14:textId="77777777" w:rsidR="00FF2820" w:rsidRPr="00746C5F" w:rsidRDefault="00FF2820" w:rsidP="00FF40AB">
            <w:pPr>
              <w:autoSpaceDE w:val="0"/>
              <w:autoSpaceDN w:val="0"/>
              <w:adjustRightInd w:val="0"/>
              <w:spacing w:after="0" w:line="240" w:lineRule="auto"/>
              <w:jc w:val="both"/>
              <w:rPr>
                <w:rFonts w:cstheme="minorHAnsi"/>
                <w:lang w:val="fr-FR"/>
              </w:rPr>
            </w:pPr>
          </w:p>
          <w:p w14:paraId="3FC2FFC8" w14:textId="77777777" w:rsidR="00FF2820" w:rsidRPr="00746C5F" w:rsidRDefault="00FF2820" w:rsidP="00FF40AB">
            <w:pPr>
              <w:autoSpaceDE w:val="0"/>
              <w:autoSpaceDN w:val="0"/>
              <w:adjustRightInd w:val="0"/>
              <w:spacing w:after="0" w:line="240" w:lineRule="auto"/>
              <w:jc w:val="both"/>
              <w:rPr>
                <w:rFonts w:cstheme="minorHAnsi"/>
                <w:lang w:val="fr-FR"/>
              </w:rPr>
            </w:pPr>
            <w:r w:rsidRPr="00746C5F">
              <w:rPr>
                <w:rFonts w:cstheme="minorHAnsi"/>
                <w:lang w:val="fr-FR"/>
              </w:rPr>
              <w:t>Cet amendement a pour objet de corriger des erreurs matérielles.</w:t>
            </w:r>
          </w:p>
        </w:tc>
      </w:tr>
    </w:tbl>
    <w:p w14:paraId="1968BB25" w14:textId="77777777" w:rsidR="00A820D7" w:rsidRPr="00345D68" w:rsidRDefault="00A820D7">
      <w:pPr>
        <w:rPr>
          <w:lang w:val="fr-FR"/>
        </w:rPr>
      </w:pPr>
    </w:p>
    <w:sectPr w:rsidR="00A820D7" w:rsidRPr="00345D6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346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45D68"/>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46C5F"/>
    <w:rsid w:val="007524C0"/>
    <w:rsid w:val="007532BF"/>
    <w:rsid w:val="00792C53"/>
    <w:rsid w:val="007B17CA"/>
    <w:rsid w:val="007B581C"/>
    <w:rsid w:val="007C2924"/>
    <w:rsid w:val="007D7A6B"/>
    <w:rsid w:val="007F3D5A"/>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C6B5D"/>
    <w:rsid w:val="00BD2DC6"/>
    <w:rsid w:val="00BE2349"/>
    <w:rsid w:val="00BF1861"/>
    <w:rsid w:val="00BF2646"/>
    <w:rsid w:val="00C01CC2"/>
    <w:rsid w:val="00C01CFA"/>
    <w:rsid w:val="00C12A40"/>
    <w:rsid w:val="00C162B3"/>
    <w:rsid w:val="00C166D1"/>
    <w:rsid w:val="00C1753D"/>
    <w:rsid w:val="00C4014C"/>
    <w:rsid w:val="00C47A8C"/>
    <w:rsid w:val="00C52F6F"/>
    <w:rsid w:val="00C65CB4"/>
    <w:rsid w:val="00C72E4C"/>
    <w:rsid w:val="00C80883"/>
    <w:rsid w:val="00C80921"/>
    <w:rsid w:val="00C86467"/>
    <w:rsid w:val="00C86CC5"/>
    <w:rsid w:val="00C91A38"/>
    <w:rsid w:val="00C9498E"/>
    <w:rsid w:val="00CA1557"/>
    <w:rsid w:val="00CA5454"/>
    <w:rsid w:val="00CB08CB"/>
    <w:rsid w:val="00CB210A"/>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5370"/>
    <w:rsid w:val="00E15CFE"/>
    <w:rsid w:val="00E21F8D"/>
    <w:rsid w:val="00E26DE4"/>
    <w:rsid w:val="00E511E0"/>
    <w:rsid w:val="00E53C0F"/>
    <w:rsid w:val="00E62BEB"/>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2820"/>
    <w:rsid w:val="00FF3C04"/>
    <w:rsid w:val="00FF40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0A0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46C5F"/>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746C5F"/>
    <w:rPr>
      <w:rFonts w:eastAsiaTheme="majorEastAsia" w:cstheme="majorBidi"/>
      <w:color w:val="000000" w:themeColor="text1"/>
      <w:szCs w:val="32"/>
    </w:rPr>
  </w:style>
  <w:style w:type="character" w:styleId="Hyperlink">
    <w:name w:val="Hyperlink"/>
    <w:basedOn w:val="Standaardalinea-lettertype"/>
    <w:uiPriority w:val="99"/>
    <w:unhideWhenUsed/>
    <w:rsid w:val="00746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3788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2019-11-08T11:40:00Z</dcterms:created>
  <dcterms:modified xsi:type="dcterms:W3CDTF">2022-02-07T15:19:00Z</dcterms:modified>
</cp:coreProperties>
</file>