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2410"/>
        <w:gridCol w:w="3402"/>
      </w:tblGrid>
      <w:tr w:rsidR="001203BA" w:rsidRPr="00023AB3" w14:paraId="5322237A" w14:textId="77777777" w:rsidTr="006A6170">
        <w:tc>
          <w:tcPr>
            <w:tcW w:w="10579" w:type="dxa"/>
            <w:gridSpan w:val="3"/>
          </w:tcPr>
          <w:p w14:paraId="567AB7F2" w14:textId="77777777" w:rsidR="001203BA" w:rsidRPr="00B07AC9" w:rsidRDefault="00023AB3" w:rsidP="003704C7">
            <w:pPr>
              <w:rPr>
                <w:b/>
                <w:sz w:val="32"/>
                <w:szCs w:val="32"/>
                <w:lang w:val="nl-BE"/>
              </w:rPr>
            </w:pPr>
            <w:r>
              <w:rPr>
                <w:b/>
                <w:sz w:val="32"/>
                <w:szCs w:val="32"/>
                <w:lang w:val="nl-BE"/>
              </w:rPr>
              <w:t>Hoofdstuk 3. – K</w:t>
            </w:r>
            <w:r w:rsidRPr="00023AB3">
              <w:rPr>
                <w:b/>
                <w:sz w:val="32"/>
                <w:szCs w:val="32"/>
                <w:lang w:val="nl-BE"/>
              </w:rPr>
              <w:t>apitaalverschaffers.</w:t>
            </w:r>
          </w:p>
        </w:tc>
        <w:tc>
          <w:tcPr>
            <w:tcW w:w="3402" w:type="dxa"/>
            <w:shd w:val="clear" w:color="auto" w:fill="auto"/>
          </w:tcPr>
          <w:p w14:paraId="3CEFB5E7" w14:textId="77777777" w:rsidR="001B29CB" w:rsidRPr="00B21391" w:rsidRDefault="001B29CB" w:rsidP="003704C7">
            <w:pPr>
              <w:jc w:val="center"/>
              <w:rPr>
                <w:rFonts w:ascii="Cambria" w:eastAsia="Calibri" w:hAnsi="Cambria" w:cs="Times New Roman"/>
                <w:b/>
                <w:bCs/>
                <w:iCs/>
                <w:color w:val="4F81BD"/>
                <w:sz w:val="32"/>
                <w:szCs w:val="26"/>
                <w:lang w:val="nl-NL" w:eastAsia="fr-FR"/>
              </w:rPr>
            </w:pPr>
          </w:p>
        </w:tc>
      </w:tr>
      <w:tr w:rsidR="001203BA" w:rsidRPr="00023AB3" w14:paraId="696CEDCD" w14:textId="77777777" w:rsidTr="006A6170">
        <w:tc>
          <w:tcPr>
            <w:tcW w:w="2122" w:type="dxa"/>
          </w:tcPr>
          <w:p w14:paraId="5FB7E0E0" w14:textId="77777777" w:rsidR="001203BA" w:rsidRPr="00B07AC9" w:rsidRDefault="00B21391" w:rsidP="003704C7">
            <w:pPr>
              <w:rPr>
                <w:b/>
                <w:sz w:val="32"/>
                <w:szCs w:val="32"/>
                <w:lang w:val="nl-BE"/>
              </w:rPr>
            </w:pPr>
            <w:r>
              <w:rPr>
                <w:b/>
                <w:sz w:val="32"/>
                <w:szCs w:val="32"/>
                <w:lang w:val="nl-BE"/>
              </w:rPr>
              <w:t>ARTIKEL 16:</w:t>
            </w:r>
            <w:r w:rsidR="009D0503">
              <w:rPr>
                <w:b/>
                <w:sz w:val="32"/>
                <w:szCs w:val="32"/>
                <w:lang w:val="nl-BE"/>
              </w:rPr>
              <w:t>4</w:t>
            </w:r>
          </w:p>
        </w:tc>
        <w:tc>
          <w:tcPr>
            <w:tcW w:w="11859" w:type="dxa"/>
            <w:gridSpan w:val="3"/>
            <w:shd w:val="clear" w:color="auto" w:fill="auto"/>
          </w:tcPr>
          <w:p w14:paraId="2C3ADE3F" w14:textId="77777777" w:rsidR="001203BA" w:rsidRPr="007B17CA" w:rsidRDefault="001203BA" w:rsidP="003704C7">
            <w:pPr>
              <w:jc w:val="center"/>
              <w:rPr>
                <w:rFonts w:ascii="Cambria" w:eastAsia="Calibri" w:hAnsi="Cambria" w:cs="Times New Roman"/>
                <w:b/>
                <w:bCs/>
                <w:color w:val="4F81BD"/>
                <w:sz w:val="32"/>
                <w:szCs w:val="26"/>
                <w:lang w:val="nl-NL" w:eastAsia="fr-FR"/>
              </w:rPr>
            </w:pPr>
          </w:p>
        </w:tc>
      </w:tr>
      <w:tr w:rsidR="00A16B4B" w:rsidRPr="00023AB3" w14:paraId="220D0754" w14:textId="77777777" w:rsidTr="006A6170">
        <w:tc>
          <w:tcPr>
            <w:tcW w:w="2122" w:type="dxa"/>
          </w:tcPr>
          <w:p w14:paraId="12EBC64A" w14:textId="77777777" w:rsidR="00A16B4B" w:rsidRDefault="00A16B4B" w:rsidP="003704C7">
            <w:pPr>
              <w:rPr>
                <w:b/>
                <w:sz w:val="32"/>
                <w:szCs w:val="32"/>
                <w:lang w:val="nl-BE"/>
              </w:rPr>
            </w:pPr>
          </w:p>
        </w:tc>
        <w:tc>
          <w:tcPr>
            <w:tcW w:w="11859" w:type="dxa"/>
            <w:gridSpan w:val="3"/>
            <w:shd w:val="clear" w:color="auto" w:fill="auto"/>
          </w:tcPr>
          <w:p w14:paraId="7A22BF2C" w14:textId="77777777" w:rsidR="00A16B4B" w:rsidRPr="007B17CA" w:rsidRDefault="00A16B4B" w:rsidP="003704C7">
            <w:pPr>
              <w:jc w:val="center"/>
              <w:rPr>
                <w:rFonts w:ascii="Cambria" w:eastAsia="Calibri" w:hAnsi="Cambria" w:cs="Times New Roman"/>
                <w:b/>
                <w:bCs/>
                <w:color w:val="4F81BD"/>
                <w:sz w:val="32"/>
                <w:szCs w:val="26"/>
                <w:lang w:val="nl-NL" w:eastAsia="fr-FR"/>
              </w:rPr>
            </w:pPr>
          </w:p>
        </w:tc>
      </w:tr>
      <w:tr w:rsidR="009D0503" w:rsidRPr="006A6170" w14:paraId="2DCEEECE" w14:textId="77777777" w:rsidTr="006A6170">
        <w:trPr>
          <w:trHeight w:val="1690"/>
        </w:trPr>
        <w:tc>
          <w:tcPr>
            <w:tcW w:w="2122" w:type="dxa"/>
          </w:tcPr>
          <w:p w14:paraId="68DEDD3B" w14:textId="77777777" w:rsidR="009D0503" w:rsidRDefault="009D0503" w:rsidP="003704C7">
            <w:pPr>
              <w:spacing w:after="0" w:line="240" w:lineRule="auto"/>
              <w:rPr>
                <w:rFonts w:cs="Calibri"/>
                <w:lang w:val="nl-BE"/>
              </w:rPr>
            </w:pPr>
            <w:r>
              <w:rPr>
                <w:rFonts w:cs="Calibri"/>
                <w:lang w:val="nl-BE"/>
              </w:rPr>
              <w:t>WVV</w:t>
            </w:r>
          </w:p>
        </w:tc>
        <w:tc>
          <w:tcPr>
            <w:tcW w:w="6047" w:type="dxa"/>
            <w:shd w:val="clear" w:color="auto" w:fill="auto"/>
          </w:tcPr>
          <w:p w14:paraId="48DA17B8" w14:textId="77777777" w:rsidR="009D0503" w:rsidRPr="00DF0A0B" w:rsidRDefault="009D0503" w:rsidP="003704C7">
            <w:pPr>
              <w:spacing w:after="0" w:line="240" w:lineRule="auto"/>
              <w:jc w:val="both"/>
              <w:rPr>
                <w:rFonts w:cs="Calibri"/>
                <w:lang w:val="nl-BE"/>
              </w:rPr>
            </w:pPr>
            <w:r w:rsidRPr="00DF0A0B">
              <w:rPr>
                <w:rFonts w:cs="Calibri"/>
                <w:lang w:val="nl-BE"/>
              </w:rPr>
              <w:t>Overeenkomstig artikel 14, lid 1, van verordening (EG) nr. 1435/2003, kunnen de statuten toestaan dat personen die naar verwachting geen gebruik zullen maken van de door de SCE aangeboden goederen en diensten of geen goederen en diensten aan de SCE zullen leveren, kunnen worden toegelaten in de hoedanigheid van kapitaalverschaffers (niet-gebruikende leden).</w:t>
            </w:r>
          </w:p>
        </w:tc>
        <w:tc>
          <w:tcPr>
            <w:tcW w:w="5812" w:type="dxa"/>
            <w:gridSpan w:val="2"/>
            <w:shd w:val="clear" w:color="auto" w:fill="auto"/>
          </w:tcPr>
          <w:p w14:paraId="71CCCE46" w14:textId="77777777" w:rsidR="009D0503" w:rsidRDefault="009D0503" w:rsidP="003704C7">
            <w:pPr>
              <w:spacing w:after="0" w:line="240" w:lineRule="auto"/>
              <w:jc w:val="both"/>
              <w:rPr>
                <w:rFonts w:cs="Calibri"/>
                <w:lang w:val="fr-FR"/>
              </w:rPr>
            </w:pPr>
            <w:r w:rsidRPr="00DF0A0B">
              <w:rPr>
                <w:rFonts w:cs="Calibri"/>
                <w:lang w:val="fr-FR"/>
              </w:rPr>
              <w:t>Conformément à l’article 14, § 1</w:t>
            </w:r>
            <w:r w:rsidRPr="00DF0A0B">
              <w:rPr>
                <w:rFonts w:cs="Calibri"/>
                <w:vertAlign w:val="superscript"/>
                <w:lang w:val="fr-FR"/>
              </w:rPr>
              <w:t>er</w:t>
            </w:r>
            <w:r w:rsidRPr="00DF0A0B">
              <w:rPr>
                <w:rFonts w:cs="Calibri"/>
                <w:lang w:val="fr-FR"/>
              </w:rPr>
              <w:t>, du règlement (CE) n° 1435/2003, les statuts peuvent permettre que des personnes n'ayant pas vocation à utiliser les biens et les services de la SCE ou à livrer des biens et des services à la SCE, peuvent être admises en qualité de membres investisseurs (</w:t>
            </w:r>
            <w:proofErr w:type="spellStart"/>
            <w:r w:rsidRPr="00DF0A0B">
              <w:rPr>
                <w:rFonts w:cs="Calibri"/>
                <w:lang w:val="fr-FR"/>
              </w:rPr>
              <w:t>non-usagers</w:t>
            </w:r>
            <w:proofErr w:type="spellEnd"/>
            <w:r w:rsidRPr="00DF0A0B">
              <w:rPr>
                <w:rFonts w:cs="Calibri"/>
                <w:lang w:val="fr-FR"/>
              </w:rPr>
              <w:t>).</w:t>
            </w:r>
          </w:p>
          <w:p w14:paraId="59124ADD" w14:textId="77777777" w:rsidR="009D0503" w:rsidRPr="00BE221B" w:rsidRDefault="009D0503" w:rsidP="003704C7">
            <w:pPr>
              <w:spacing w:after="0" w:line="240" w:lineRule="auto"/>
              <w:jc w:val="both"/>
              <w:rPr>
                <w:rFonts w:cs="Calibri"/>
                <w:lang w:val="fr-BE"/>
              </w:rPr>
            </w:pPr>
          </w:p>
        </w:tc>
      </w:tr>
      <w:tr w:rsidR="00034119" w:rsidRPr="006A6170" w14:paraId="39625489" w14:textId="77777777" w:rsidTr="00034119">
        <w:trPr>
          <w:trHeight w:val="436"/>
        </w:trPr>
        <w:tc>
          <w:tcPr>
            <w:tcW w:w="2122" w:type="dxa"/>
          </w:tcPr>
          <w:p w14:paraId="76AC2B9A" w14:textId="77777777" w:rsidR="00034119" w:rsidRPr="00216D77" w:rsidRDefault="00034119" w:rsidP="00E9206C">
            <w:pPr>
              <w:spacing w:after="0"/>
            </w:pPr>
            <w:proofErr w:type="spellStart"/>
            <w:r w:rsidRPr="00216D77">
              <w:t>Ontwerp</w:t>
            </w:r>
            <w:proofErr w:type="spellEnd"/>
          </w:p>
        </w:tc>
        <w:tc>
          <w:tcPr>
            <w:tcW w:w="6047" w:type="dxa"/>
            <w:shd w:val="clear" w:color="auto" w:fill="auto"/>
          </w:tcPr>
          <w:p w14:paraId="461199D2" w14:textId="77777777" w:rsidR="00034119" w:rsidRPr="00216D77" w:rsidRDefault="00034119" w:rsidP="00E9206C">
            <w:pPr>
              <w:spacing w:after="0"/>
            </w:pPr>
            <w:proofErr w:type="spellStart"/>
            <w:r w:rsidRPr="00216D77">
              <w:t>Geen</w:t>
            </w:r>
            <w:proofErr w:type="spellEnd"/>
            <w:r w:rsidRPr="00216D77">
              <w:t xml:space="preserve"> </w:t>
            </w:r>
            <w:proofErr w:type="spellStart"/>
            <w:r w:rsidRPr="00216D77">
              <w:t>artikel</w:t>
            </w:r>
            <w:proofErr w:type="spellEnd"/>
            <w:r>
              <w:t>.</w:t>
            </w:r>
          </w:p>
        </w:tc>
        <w:tc>
          <w:tcPr>
            <w:tcW w:w="5812" w:type="dxa"/>
            <w:gridSpan w:val="2"/>
            <w:shd w:val="clear" w:color="auto" w:fill="auto"/>
          </w:tcPr>
          <w:p w14:paraId="2C46F644" w14:textId="77777777" w:rsidR="00034119" w:rsidRDefault="00034119" w:rsidP="00E9206C">
            <w:pPr>
              <w:spacing w:after="0"/>
            </w:pPr>
            <w:r w:rsidRPr="00216D77">
              <w:t xml:space="preserve">Pas </w:t>
            </w:r>
            <w:proofErr w:type="spellStart"/>
            <w:r w:rsidRPr="00216D77">
              <w:t>d’article</w:t>
            </w:r>
            <w:proofErr w:type="spellEnd"/>
            <w:r>
              <w:t>.</w:t>
            </w:r>
          </w:p>
        </w:tc>
      </w:tr>
      <w:tr w:rsidR="00034119" w:rsidRPr="004177C8" w14:paraId="06DAF5A9" w14:textId="77777777" w:rsidTr="006A6170">
        <w:trPr>
          <w:trHeight w:val="407"/>
        </w:trPr>
        <w:tc>
          <w:tcPr>
            <w:tcW w:w="2122" w:type="dxa"/>
          </w:tcPr>
          <w:p w14:paraId="0C51F0B4" w14:textId="77777777" w:rsidR="00034119" w:rsidRPr="004177C8" w:rsidRDefault="00034119" w:rsidP="003704C7">
            <w:pPr>
              <w:spacing w:after="0" w:line="240" w:lineRule="auto"/>
              <w:rPr>
                <w:rFonts w:cs="Calibri"/>
                <w:lang w:val="fr-FR"/>
              </w:rPr>
            </w:pPr>
            <w:proofErr w:type="spellStart"/>
            <w:r>
              <w:rPr>
                <w:rFonts w:cs="Calibri"/>
                <w:lang w:val="fr-FR"/>
              </w:rPr>
              <w:t>Voorontwerp</w:t>
            </w:r>
            <w:proofErr w:type="spellEnd"/>
          </w:p>
        </w:tc>
        <w:tc>
          <w:tcPr>
            <w:tcW w:w="6047" w:type="dxa"/>
            <w:shd w:val="clear" w:color="auto" w:fill="auto"/>
          </w:tcPr>
          <w:p w14:paraId="3E8BD034" w14:textId="77777777" w:rsidR="00034119" w:rsidRPr="004177C8" w:rsidRDefault="00034119" w:rsidP="003704C7">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2"/>
            <w:shd w:val="clear" w:color="auto" w:fill="auto"/>
          </w:tcPr>
          <w:p w14:paraId="14BF382E" w14:textId="77777777" w:rsidR="00034119" w:rsidRPr="00DF0A0B" w:rsidRDefault="00034119" w:rsidP="003704C7">
            <w:pPr>
              <w:spacing w:after="0" w:line="240" w:lineRule="auto"/>
              <w:jc w:val="both"/>
              <w:rPr>
                <w:rFonts w:cs="Calibri"/>
                <w:lang w:val="fr-FR"/>
              </w:rPr>
            </w:pPr>
            <w:r>
              <w:rPr>
                <w:rFonts w:cs="Calibri"/>
                <w:lang w:val="fr-FR"/>
              </w:rPr>
              <w:t>Pas d’article.</w:t>
            </w:r>
          </w:p>
        </w:tc>
      </w:tr>
      <w:tr w:rsidR="00034119" w:rsidRPr="006A6170" w14:paraId="51931FE5" w14:textId="77777777" w:rsidTr="006A6170">
        <w:trPr>
          <w:trHeight w:val="892"/>
        </w:trPr>
        <w:tc>
          <w:tcPr>
            <w:tcW w:w="2122" w:type="dxa"/>
          </w:tcPr>
          <w:p w14:paraId="190F09AC" w14:textId="77777777" w:rsidR="00034119" w:rsidRPr="00216D77" w:rsidRDefault="00034119" w:rsidP="003704C7">
            <w:pPr>
              <w:spacing w:after="0" w:line="240" w:lineRule="auto"/>
              <w:jc w:val="both"/>
            </w:pPr>
            <w:bookmarkStart w:id="0" w:name="_GoBack"/>
            <w:bookmarkEnd w:id="0"/>
            <w:proofErr w:type="spellStart"/>
            <w:r>
              <w:t>MvT</w:t>
            </w:r>
            <w:proofErr w:type="spellEnd"/>
          </w:p>
        </w:tc>
        <w:tc>
          <w:tcPr>
            <w:tcW w:w="6047" w:type="dxa"/>
            <w:shd w:val="clear" w:color="auto" w:fill="auto"/>
          </w:tcPr>
          <w:p w14:paraId="70F2C494" w14:textId="77777777" w:rsidR="00034119" w:rsidRPr="00023AB3" w:rsidRDefault="00034119" w:rsidP="003704C7">
            <w:pPr>
              <w:spacing w:after="0" w:line="240" w:lineRule="auto"/>
              <w:jc w:val="both"/>
              <w:rPr>
                <w:lang w:val="nl-BE"/>
              </w:rPr>
            </w:pPr>
            <w:r w:rsidRPr="00023AB3">
              <w:rPr>
                <w:lang w:val="nl-BE"/>
              </w:rPr>
              <w:t>Dit artikel maakt gebruik van de door artikel 14, lid 1, van verordening (EG) nr. 1435/2003 geboden mogelijkheid om aandeelhouders toe te laten die loutere kapitaalverschaffers zijn.</w:t>
            </w:r>
          </w:p>
        </w:tc>
        <w:tc>
          <w:tcPr>
            <w:tcW w:w="5812" w:type="dxa"/>
            <w:gridSpan w:val="2"/>
            <w:shd w:val="clear" w:color="auto" w:fill="auto"/>
          </w:tcPr>
          <w:p w14:paraId="2C6C4B57" w14:textId="77777777" w:rsidR="00034119" w:rsidRPr="00023AB3" w:rsidRDefault="00034119" w:rsidP="003704C7">
            <w:pPr>
              <w:spacing w:after="0" w:line="240" w:lineRule="auto"/>
              <w:jc w:val="both"/>
              <w:rPr>
                <w:lang w:val="fr-FR"/>
              </w:rPr>
            </w:pPr>
            <w:r w:rsidRPr="00023AB3">
              <w:rPr>
                <w:lang w:val="fr-FR"/>
              </w:rPr>
              <w:t>Cet article recourt à la possibilité qu’offre l’article 14, § 1er, du règlement (CE) n° 1435/2003 d’admettre des actionnaires en qualité de purs membres investisseurs.</w:t>
            </w:r>
          </w:p>
        </w:tc>
      </w:tr>
      <w:tr w:rsidR="00034119" w:rsidRPr="00023AB3" w14:paraId="4232B139" w14:textId="77777777" w:rsidTr="006A6170">
        <w:trPr>
          <w:trHeight w:val="439"/>
        </w:trPr>
        <w:tc>
          <w:tcPr>
            <w:tcW w:w="2122" w:type="dxa"/>
          </w:tcPr>
          <w:p w14:paraId="143B857C" w14:textId="77777777" w:rsidR="00034119" w:rsidRDefault="00034119" w:rsidP="003704C7">
            <w:pPr>
              <w:spacing w:after="0"/>
              <w:jc w:val="both"/>
            </w:pPr>
            <w:proofErr w:type="spellStart"/>
            <w:r>
              <w:t>RvSt</w:t>
            </w:r>
            <w:proofErr w:type="spellEnd"/>
          </w:p>
        </w:tc>
        <w:tc>
          <w:tcPr>
            <w:tcW w:w="6047" w:type="dxa"/>
            <w:shd w:val="clear" w:color="auto" w:fill="auto"/>
          </w:tcPr>
          <w:p w14:paraId="4A7CB219" w14:textId="77777777" w:rsidR="00034119" w:rsidRPr="00023AB3" w:rsidRDefault="00034119" w:rsidP="003704C7">
            <w:pPr>
              <w:spacing w:after="0"/>
              <w:jc w:val="both"/>
              <w:rPr>
                <w:lang w:val="nl-BE"/>
              </w:rPr>
            </w:pPr>
            <w:r>
              <w:rPr>
                <w:lang w:val="nl-BE"/>
              </w:rPr>
              <w:t>Geen opmerkingen.</w:t>
            </w:r>
          </w:p>
        </w:tc>
        <w:tc>
          <w:tcPr>
            <w:tcW w:w="5812" w:type="dxa"/>
            <w:gridSpan w:val="2"/>
            <w:shd w:val="clear" w:color="auto" w:fill="auto"/>
          </w:tcPr>
          <w:p w14:paraId="2CC950EF" w14:textId="77777777" w:rsidR="00034119" w:rsidRPr="00023AB3" w:rsidRDefault="00034119" w:rsidP="003704C7">
            <w:pPr>
              <w:spacing w:after="0"/>
              <w:jc w:val="both"/>
              <w:rPr>
                <w:lang w:val="fr-FR"/>
              </w:rPr>
            </w:pPr>
            <w:r>
              <w:rPr>
                <w:lang w:val="fr-FR"/>
              </w:rPr>
              <w:t>Pas de remarques.</w:t>
            </w:r>
          </w:p>
        </w:tc>
      </w:tr>
    </w:tbl>
    <w:p w14:paraId="2DC5ADBA" w14:textId="77777777" w:rsidR="001203BA" w:rsidRPr="00023AB3" w:rsidRDefault="001203BA" w:rsidP="001203BA">
      <w:pPr>
        <w:rPr>
          <w:lang w:val="fr-FR"/>
        </w:rPr>
      </w:pPr>
    </w:p>
    <w:p w14:paraId="13A68021" w14:textId="77777777" w:rsidR="00A820D7" w:rsidRPr="00023AB3" w:rsidRDefault="00A820D7">
      <w:pPr>
        <w:rPr>
          <w:lang w:val="fr-FR"/>
        </w:rPr>
      </w:pPr>
    </w:p>
    <w:sectPr w:rsidR="00A820D7" w:rsidRPr="00023AB3"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61D7"/>
    <w:rsid w:val="000174BB"/>
    <w:rsid w:val="0002054A"/>
    <w:rsid w:val="00020B72"/>
    <w:rsid w:val="00021FCB"/>
    <w:rsid w:val="00023AB3"/>
    <w:rsid w:val="00025BD5"/>
    <w:rsid w:val="00034119"/>
    <w:rsid w:val="00034C6F"/>
    <w:rsid w:val="00036F85"/>
    <w:rsid w:val="000441DE"/>
    <w:rsid w:val="00071562"/>
    <w:rsid w:val="000B17B4"/>
    <w:rsid w:val="000D6EAF"/>
    <w:rsid w:val="000E14C5"/>
    <w:rsid w:val="000F22A5"/>
    <w:rsid w:val="000F28E4"/>
    <w:rsid w:val="00102D66"/>
    <w:rsid w:val="00104701"/>
    <w:rsid w:val="00111D98"/>
    <w:rsid w:val="001124BA"/>
    <w:rsid w:val="0011776E"/>
    <w:rsid w:val="001203BA"/>
    <w:rsid w:val="001274D6"/>
    <w:rsid w:val="00133831"/>
    <w:rsid w:val="00133FDD"/>
    <w:rsid w:val="001346A0"/>
    <w:rsid w:val="00141781"/>
    <w:rsid w:val="00141EB0"/>
    <w:rsid w:val="00142276"/>
    <w:rsid w:val="00145CDB"/>
    <w:rsid w:val="00155DAF"/>
    <w:rsid w:val="001577E9"/>
    <w:rsid w:val="00160A1B"/>
    <w:rsid w:val="00164A72"/>
    <w:rsid w:val="00173563"/>
    <w:rsid w:val="00181A11"/>
    <w:rsid w:val="001849BF"/>
    <w:rsid w:val="00191BAC"/>
    <w:rsid w:val="00193578"/>
    <w:rsid w:val="001A5398"/>
    <w:rsid w:val="001B29CB"/>
    <w:rsid w:val="001C36B7"/>
    <w:rsid w:val="001D27E0"/>
    <w:rsid w:val="001D5AD6"/>
    <w:rsid w:val="0021135B"/>
    <w:rsid w:val="00213D83"/>
    <w:rsid w:val="00214ADA"/>
    <w:rsid w:val="00216A35"/>
    <w:rsid w:val="002337A0"/>
    <w:rsid w:val="00251BBF"/>
    <w:rsid w:val="00253930"/>
    <w:rsid w:val="002562D5"/>
    <w:rsid w:val="00262FAA"/>
    <w:rsid w:val="0026584A"/>
    <w:rsid w:val="00266349"/>
    <w:rsid w:val="00267866"/>
    <w:rsid w:val="00271C8A"/>
    <w:rsid w:val="00274C37"/>
    <w:rsid w:val="00276531"/>
    <w:rsid w:val="00283177"/>
    <w:rsid w:val="002912FD"/>
    <w:rsid w:val="0029665A"/>
    <w:rsid w:val="00297FF6"/>
    <w:rsid w:val="002A12C9"/>
    <w:rsid w:val="002A4557"/>
    <w:rsid w:val="002A5831"/>
    <w:rsid w:val="002B14C4"/>
    <w:rsid w:val="002B3F2F"/>
    <w:rsid w:val="002C622E"/>
    <w:rsid w:val="002D76A6"/>
    <w:rsid w:val="002E665B"/>
    <w:rsid w:val="002F7950"/>
    <w:rsid w:val="00300B84"/>
    <w:rsid w:val="00302A76"/>
    <w:rsid w:val="00306533"/>
    <w:rsid w:val="00306738"/>
    <w:rsid w:val="003163DB"/>
    <w:rsid w:val="003340F4"/>
    <w:rsid w:val="00340C21"/>
    <w:rsid w:val="003564D8"/>
    <w:rsid w:val="00357D30"/>
    <w:rsid w:val="00367502"/>
    <w:rsid w:val="003704C7"/>
    <w:rsid w:val="003831C0"/>
    <w:rsid w:val="00392936"/>
    <w:rsid w:val="003A1C6D"/>
    <w:rsid w:val="003A3D34"/>
    <w:rsid w:val="003A7991"/>
    <w:rsid w:val="003B06EB"/>
    <w:rsid w:val="003B15A0"/>
    <w:rsid w:val="003C38B1"/>
    <w:rsid w:val="003D744D"/>
    <w:rsid w:val="003E1F7C"/>
    <w:rsid w:val="003F24EE"/>
    <w:rsid w:val="003F6F60"/>
    <w:rsid w:val="00400236"/>
    <w:rsid w:val="00404691"/>
    <w:rsid w:val="00415C03"/>
    <w:rsid w:val="004177C8"/>
    <w:rsid w:val="00423115"/>
    <w:rsid w:val="004334BF"/>
    <w:rsid w:val="00441E30"/>
    <w:rsid w:val="004443F2"/>
    <w:rsid w:val="004610CD"/>
    <w:rsid w:val="004637CE"/>
    <w:rsid w:val="0047203B"/>
    <w:rsid w:val="00492278"/>
    <w:rsid w:val="00492FE9"/>
    <w:rsid w:val="004A39E3"/>
    <w:rsid w:val="004A7563"/>
    <w:rsid w:val="004C3052"/>
    <w:rsid w:val="004C63AD"/>
    <w:rsid w:val="00502CB1"/>
    <w:rsid w:val="005133BD"/>
    <w:rsid w:val="00513F84"/>
    <w:rsid w:val="00525185"/>
    <w:rsid w:val="00534740"/>
    <w:rsid w:val="005364B4"/>
    <w:rsid w:val="005415E2"/>
    <w:rsid w:val="0054708F"/>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7805"/>
    <w:rsid w:val="0066155A"/>
    <w:rsid w:val="0066738E"/>
    <w:rsid w:val="0068143A"/>
    <w:rsid w:val="00686C06"/>
    <w:rsid w:val="006920C9"/>
    <w:rsid w:val="006A6170"/>
    <w:rsid w:val="006A735D"/>
    <w:rsid w:val="006B2AA7"/>
    <w:rsid w:val="006C529C"/>
    <w:rsid w:val="006D501B"/>
    <w:rsid w:val="006D6DC3"/>
    <w:rsid w:val="0070142C"/>
    <w:rsid w:val="00701DD9"/>
    <w:rsid w:val="00706549"/>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408"/>
    <w:rsid w:val="00817848"/>
    <w:rsid w:val="00833A2D"/>
    <w:rsid w:val="008423F9"/>
    <w:rsid w:val="00842D8E"/>
    <w:rsid w:val="00853C03"/>
    <w:rsid w:val="00863AF1"/>
    <w:rsid w:val="00871F22"/>
    <w:rsid w:val="00887B0C"/>
    <w:rsid w:val="008A17D9"/>
    <w:rsid w:val="008B2189"/>
    <w:rsid w:val="008D71F7"/>
    <w:rsid w:val="008E164C"/>
    <w:rsid w:val="008E7328"/>
    <w:rsid w:val="00905B7A"/>
    <w:rsid w:val="00913896"/>
    <w:rsid w:val="00913FE2"/>
    <w:rsid w:val="00916E5F"/>
    <w:rsid w:val="009172D4"/>
    <w:rsid w:val="0093030C"/>
    <w:rsid w:val="00931894"/>
    <w:rsid w:val="00935E60"/>
    <w:rsid w:val="00943313"/>
    <w:rsid w:val="009460AE"/>
    <w:rsid w:val="009627E9"/>
    <w:rsid w:val="0096303B"/>
    <w:rsid w:val="0098698D"/>
    <w:rsid w:val="009A4260"/>
    <w:rsid w:val="009B3BE6"/>
    <w:rsid w:val="009C0DC9"/>
    <w:rsid w:val="009D0503"/>
    <w:rsid w:val="009D0B3E"/>
    <w:rsid w:val="009F648C"/>
    <w:rsid w:val="009F7906"/>
    <w:rsid w:val="00A0074A"/>
    <w:rsid w:val="00A01EFB"/>
    <w:rsid w:val="00A14C1E"/>
    <w:rsid w:val="00A152BE"/>
    <w:rsid w:val="00A16B4B"/>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6451"/>
    <w:rsid w:val="00B03864"/>
    <w:rsid w:val="00B14FC3"/>
    <w:rsid w:val="00B15F17"/>
    <w:rsid w:val="00B21391"/>
    <w:rsid w:val="00B41CE6"/>
    <w:rsid w:val="00B43558"/>
    <w:rsid w:val="00B44890"/>
    <w:rsid w:val="00B50606"/>
    <w:rsid w:val="00B61E27"/>
    <w:rsid w:val="00B61EA1"/>
    <w:rsid w:val="00B6333A"/>
    <w:rsid w:val="00B779CF"/>
    <w:rsid w:val="00B9162B"/>
    <w:rsid w:val="00B9723E"/>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014C"/>
    <w:rsid w:val="00C47A8C"/>
    <w:rsid w:val="00C72E4C"/>
    <w:rsid w:val="00C80883"/>
    <w:rsid w:val="00C80921"/>
    <w:rsid w:val="00C86467"/>
    <w:rsid w:val="00C86CC5"/>
    <w:rsid w:val="00C91A38"/>
    <w:rsid w:val="00CA1557"/>
    <w:rsid w:val="00CA5454"/>
    <w:rsid w:val="00CB08CB"/>
    <w:rsid w:val="00CB210A"/>
    <w:rsid w:val="00CB6FFB"/>
    <w:rsid w:val="00CC6422"/>
    <w:rsid w:val="00D22227"/>
    <w:rsid w:val="00D42D9B"/>
    <w:rsid w:val="00D46773"/>
    <w:rsid w:val="00D66D82"/>
    <w:rsid w:val="00D751E3"/>
    <w:rsid w:val="00D8405B"/>
    <w:rsid w:val="00D931FB"/>
    <w:rsid w:val="00D96002"/>
    <w:rsid w:val="00DA0AF3"/>
    <w:rsid w:val="00DB5C97"/>
    <w:rsid w:val="00DD79BB"/>
    <w:rsid w:val="00DE1FCC"/>
    <w:rsid w:val="00E15370"/>
    <w:rsid w:val="00E15CFE"/>
    <w:rsid w:val="00E21F8D"/>
    <w:rsid w:val="00E26DE4"/>
    <w:rsid w:val="00E511E0"/>
    <w:rsid w:val="00E53C0F"/>
    <w:rsid w:val="00E719D5"/>
    <w:rsid w:val="00E72BF6"/>
    <w:rsid w:val="00E85F7D"/>
    <w:rsid w:val="00E94056"/>
    <w:rsid w:val="00EA3D66"/>
    <w:rsid w:val="00EA7FDC"/>
    <w:rsid w:val="00EB2EF1"/>
    <w:rsid w:val="00EB4929"/>
    <w:rsid w:val="00EC77EF"/>
    <w:rsid w:val="00ED31D7"/>
    <w:rsid w:val="00ED3B78"/>
    <w:rsid w:val="00ED6CD0"/>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156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1022</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2019-11-08T10:44:00Z</dcterms:created>
  <dcterms:modified xsi:type="dcterms:W3CDTF">2022-02-07T14:35:00Z</dcterms:modified>
</cp:coreProperties>
</file>