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529"/>
        <w:gridCol w:w="283"/>
      </w:tblGrid>
      <w:tr w:rsidR="000E3BCA" w:rsidRPr="00145D19" w14:paraId="76BA9812" w14:textId="77777777" w:rsidTr="00DD1932">
        <w:tc>
          <w:tcPr>
            <w:tcW w:w="13698" w:type="dxa"/>
            <w:gridSpan w:val="3"/>
          </w:tcPr>
          <w:p w14:paraId="0D112B8B" w14:textId="77777777" w:rsidR="000E3BCA" w:rsidRPr="000E3BCA" w:rsidRDefault="000E3BCA" w:rsidP="00380F3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BOEK 17. – D</w:t>
            </w:r>
            <w:r w:rsidRPr="000E3BCA">
              <w:rPr>
                <w:b/>
                <w:sz w:val="32"/>
                <w:szCs w:val="32"/>
                <w:lang w:val="nl-BE"/>
              </w:rPr>
              <w:t>e Europese politieke partij en de Europese politieke stichting.</w:t>
            </w:r>
          </w:p>
        </w:tc>
        <w:tc>
          <w:tcPr>
            <w:tcW w:w="283" w:type="dxa"/>
            <w:shd w:val="clear" w:color="auto" w:fill="auto"/>
          </w:tcPr>
          <w:p w14:paraId="66C034E8" w14:textId="77777777" w:rsidR="000E3BCA" w:rsidRPr="007B17CA" w:rsidRDefault="000E3BCA" w:rsidP="00380F3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E3BCA" w:rsidRPr="00145D19" w14:paraId="5761A990" w14:textId="77777777" w:rsidTr="00DD1932">
        <w:tc>
          <w:tcPr>
            <w:tcW w:w="13698" w:type="dxa"/>
            <w:gridSpan w:val="3"/>
          </w:tcPr>
          <w:p w14:paraId="6F68EB0A" w14:textId="77777777" w:rsidR="000E3BCA" w:rsidRDefault="000E3BCA" w:rsidP="00380F3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1. – D</w:t>
            </w:r>
            <w:r w:rsidRPr="000E3BCA">
              <w:rPr>
                <w:b/>
                <w:sz w:val="32"/>
                <w:szCs w:val="32"/>
                <w:lang w:val="nl-BE"/>
              </w:rPr>
              <w:t>e Europese politieke partij.</w:t>
            </w:r>
          </w:p>
        </w:tc>
        <w:tc>
          <w:tcPr>
            <w:tcW w:w="283" w:type="dxa"/>
            <w:shd w:val="clear" w:color="auto" w:fill="auto"/>
          </w:tcPr>
          <w:p w14:paraId="270DCC41" w14:textId="77777777" w:rsidR="000E3BCA" w:rsidRPr="007B17CA" w:rsidRDefault="000E3BCA" w:rsidP="00380F3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3545A5" w14:paraId="048B021B" w14:textId="77777777" w:rsidTr="00DD1932">
        <w:tc>
          <w:tcPr>
            <w:tcW w:w="2122" w:type="dxa"/>
          </w:tcPr>
          <w:p w14:paraId="58B2CBE2" w14:textId="77777777" w:rsidR="001203BA" w:rsidRPr="00B07AC9" w:rsidRDefault="006F4576" w:rsidP="00380F34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17:1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E447D62" w14:textId="77777777" w:rsidR="001203BA" w:rsidRPr="007B17CA" w:rsidRDefault="001203BA" w:rsidP="00380F3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53B49" w:rsidRPr="003545A5" w14:paraId="4ABCBA2F" w14:textId="77777777" w:rsidTr="00DD1932">
        <w:tc>
          <w:tcPr>
            <w:tcW w:w="2122" w:type="dxa"/>
          </w:tcPr>
          <w:p w14:paraId="63DC6FB1" w14:textId="77777777" w:rsidR="00F53B49" w:rsidRDefault="00F53B49" w:rsidP="00380F3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1AB5C7BF" w14:textId="77777777" w:rsidR="00F53B49" w:rsidRPr="007B17CA" w:rsidRDefault="00F53B49" w:rsidP="00380F34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F4576" w:rsidRPr="00DD1932" w14:paraId="33731C9B" w14:textId="77777777" w:rsidTr="00145D19">
        <w:trPr>
          <w:trHeight w:val="1429"/>
        </w:trPr>
        <w:tc>
          <w:tcPr>
            <w:tcW w:w="2122" w:type="dxa"/>
          </w:tcPr>
          <w:p w14:paraId="453F8812" w14:textId="77777777" w:rsidR="006F4576" w:rsidRDefault="006F4576" w:rsidP="00380F34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  <w:bookmarkStart w:id="0" w:name="_GoBack"/>
            <w:bookmarkEnd w:id="0"/>
          </w:p>
        </w:tc>
        <w:tc>
          <w:tcPr>
            <w:tcW w:w="6047" w:type="dxa"/>
            <w:shd w:val="clear" w:color="auto" w:fill="auto"/>
          </w:tcPr>
          <w:p w14:paraId="31540311" w14:textId="77777777" w:rsidR="006F4576" w:rsidRDefault="006F4576" w:rsidP="00380F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A4108">
              <w:rPr>
                <w:rFonts w:cs="Calibri"/>
                <w:lang w:val="nl-BE"/>
              </w:rPr>
              <w:t xml:space="preserve">Voor de toepassing van dit boek wordt verstaan onder </w:t>
            </w:r>
            <w:r w:rsidRPr="004A4108">
              <w:rPr>
                <w:rFonts w:cs="Calibri"/>
                <w:lang w:val="nl-NL"/>
              </w:rPr>
              <w:t>"verordening (EU, Euratom) nr. 1141/2014": "v</w:t>
            </w:r>
            <w:r w:rsidRPr="004A4108">
              <w:rPr>
                <w:rFonts w:cs="Calibri"/>
                <w:lang w:val="nl-BE"/>
              </w:rPr>
              <w:t>erordening nr. 1141/2014 van het Europees Parlement en de Raad van 22 oktober 2014 betreffende het statuut en de financiering van de Europese politieke partijen en de Europese politieke stichtingen</w:t>
            </w:r>
            <w:r>
              <w:rPr>
                <w:rFonts w:cs="Calibri"/>
                <w:lang w:val="nl-BE"/>
              </w:rPr>
              <w:t>”.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06658F" w14:textId="77777777" w:rsidR="006F4576" w:rsidRPr="00544412" w:rsidRDefault="006F4576" w:rsidP="00380F3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A4108">
              <w:rPr>
                <w:rFonts w:cs="Calibri"/>
                <w:lang w:val="fr-BE"/>
              </w:rPr>
              <w:t>Pour l'application du présent livre, l'on entend par « règlement (UE, Euratom) n° 1141/2014 » : « règlement n° 1141/2014 du Parlement européen et du Conseil du 22 octobre 2014 relatif au statut et au financement des partis politiques européens et des fondations politiques européennes »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145D19" w:rsidRPr="00DD1932" w14:paraId="35292432" w14:textId="77777777" w:rsidTr="00145D19">
        <w:trPr>
          <w:trHeight w:val="436"/>
        </w:trPr>
        <w:tc>
          <w:tcPr>
            <w:tcW w:w="2122" w:type="dxa"/>
          </w:tcPr>
          <w:p w14:paraId="621D314F" w14:textId="77777777" w:rsidR="00145D19" w:rsidRPr="00E2604C" w:rsidRDefault="00145D19" w:rsidP="00CC40A6">
            <w:pPr>
              <w:spacing w:after="0"/>
            </w:pPr>
            <w:proofErr w:type="spellStart"/>
            <w:r w:rsidRPr="00E2604C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4F99D16" w14:textId="77777777" w:rsidR="00145D19" w:rsidRPr="00E2604C" w:rsidRDefault="00145D19" w:rsidP="00CC40A6">
            <w:pPr>
              <w:spacing w:after="0" w:line="240" w:lineRule="auto"/>
            </w:pPr>
            <w:proofErr w:type="spellStart"/>
            <w:r w:rsidRPr="00E2604C">
              <w:t>Geen</w:t>
            </w:r>
            <w:proofErr w:type="spellEnd"/>
            <w:r w:rsidRPr="00E2604C">
              <w:t xml:space="preserve"> </w:t>
            </w:r>
            <w:proofErr w:type="spellStart"/>
            <w:r w:rsidRPr="00E2604C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0C125C" w14:textId="77777777" w:rsidR="00145D19" w:rsidRDefault="00145D19" w:rsidP="00CC40A6">
            <w:pPr>
              <w:spacing w:after="0" w:line="240" w:lineRule="auto"/>
            </w:pPr>
            <w:r w:rsidRPr="00E2604C">
              <w:t xml:space="preserve">Pas </w:t>
            </w:r>
            <w:proofErr w:type="spellStart"/>
            <w:r w:rsidRPr="00E2604C">
              <w:t>d’article</w:t>
            </w:r>
            <w:proofErr w:type="spellEnd"/>
            <w:r>
              <w:t>.</w:t>
            </w:r>
          </w:p>
        </w:tc>
      </w:tr>
      <w:tr w:rsidR="00145D19" w:rsidRPr="00B8231C" w14:paraId="08026BD4" w14:textId="77777777" w:rsidTr="00DD1932">
        <w:trPr>
          <w:trHeight w:val="440"/>
        </w:trPr>
        <w:tc>
          <w:tcPr>
            <w:tcW w:w="2122" w:type="dxa"/>
          </w:tcPr>
          <w:p w14:paraId="065E64AA" w14:textId="77777777" w:rsidR="00145D19" w:rsidRPr="00B8231C" w:rsidRDefault="00145D19" w:rsidP="00380F34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E4880B5" w14:textId="77777777" w:rsidR="00145D19" w:rsidRPr="00B8231C" w:rsidRDefault="00145D19" w:rsidP="00380F3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E7E8D5F" w14:textId="77777777" w:rsidR="00145D19" w:rsidRPr="004A4108" w:rsidRDefault="00145D19" w:rsidP="00380F3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145D19" w:rsidRPr="00DD1932" w14:paraId="2FC1CF87" w14:textId="77777777" w:rsidTr="00145D19">
        <w:trPr>
          <w:trHeight w:val="842"/>
        </w:trPr>
        <w:tc>
          <w:tcPr>
            <w:tcW w:w="2122" w:type="dxa"/>
          </w:tcPr>
          <w:p w14:paraId="5FEF504C" w14:textId="77777777" w:rsidR="00145D19" w:rsidRPr="00E2604C" w:rsidRDefault="00145D19" w:rsidP="00380F34">
            <w:pPr>
              <w:spacing w:after="0" w:line="240" w:lineRule="auto"/>
              <w:jc w:val="both"/>
            </w:pPr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AE85ADB" w14:textId="77777777" w:rsidR="00145D19" w:rsidRPr="003F6262" w:rsidRDefault="00145D19" w:rsidP="00380F34">
            <w:pPr>
              <w:spacing w:after="0" w:line="240" w:lineRule="auto"/>
              <w:jc w:val="both"/>
              <w:rPr>
                <w:u w:val="single"/>
                <w:lang w:val="nl-BE"/>
              </w:rPr>
            </w:pPr>
            <w:r w:rsidRPr="003F6262">
              <w:rPr>
                <w:u w:val="single"/>
                <w:lang w:val="nl-BE"/>
              </w:rPr>
              <w:t>Artikelen 17:1 - 17:6.</w:t>
            </w:r>
          </w:p>
          <w:p w14:paraId="3EF28F4D" w14:textId="77777777" w:rsidR="00145D19" w:rsidRPr="000E3BCA" w:rsidRDefault="00145D19" w:rsidP="00380F34">
            <w:pPr>
              <w:spacing w:after="0" w:line="240" w:lineRule="auto"/>
              <w:jc w:val="both"/>
              <w:rPr>
                <w:lang w:val="nl-BE"/>
              </w:rPr>
            </w:pPr>
            <w:r w:rsidRPr="000E3BCA">
              <w:rPr>
                <w:lang w:val="nl-BE"/>
              </w:rPr>
              <w:t>Artikel 17:1 behoeft geen nadere uitleg. De overige bepalingen hernemen de artikelen 58/1 t.e.m. 58/5 v&amp;s-wet</w:t>
            </w:r>
            <w:r>
              <w:rPr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A704DAB" w14:textId="77777777" w:rsidR="00145D19" w:rsidRPr="003F6262" w:rsidRDefault="00145D19" w:rsidP="00380F34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 w:rsidRPr="003F6262">
              <w:rPr>
                <w:u w:val="single"/>
                <w:lang w:val="fr-FR"/>
              </w:rPr>
              <w:t xml:space="preserve">Articles </w:t>
            </w:r>
            <w:proofErr w:type="gramStart"/>
            <w:r w:rsidRPr="003F6262">
              <w:rPr>
                <w:u w:val="single"/>
                <w:lang w:val="fr-FR"/>
              </w:rPr>
              <w:t>17:</w:t>
            </w:r>
            <w:proofErr w:type="gramEnd"/>
            <w:r w:rsidRPr="003F6262">
              <w:rPr>
                <w:u w:val="single"/>
                <w:lang w:val="fr-FR"/>
              </w:rPr>
              <w:t>1 - 17:6.</w:t>
            </w:r>
          </w:p>
          <w:p w14:paraId="41608B03" w14:textId="77777777" w:rsidR="00145D19" w:rsidRPr="000E3BCA" w:rsidRDefault="00145D19" w:rsidP="00380F34">
            <w:pPr>
              <w:spacing w:after="0" w:line="240" w:lineRule="auto"/>
              <w:jc w:val="both"/>
              <w:rPr>
                <w:lang w:val="fr-FR"/>
              </w:rPr>
            </w:pPr>
            <w:r w:rsidRPr="000E3BCA">
              <w:rPr>
                <w:lang w:val="fr-FR"/>
              </w:rPr>
              <w:t xml:space="preserve">L’article </w:t>
            </w:r>
            <w:proofErr w:type="gramStart"/>
            <w:r w:rsidRPr="000E3BCA">
              <w:rPr>
                <w:lang w:val="fr-FR"/>
              </w:rPr>
              <w:t>17:</w:t>
            </w:r>
            <w:proofErr w:type="gramEnd"/>
            <w:r w:rsidRPr="000E3BCA">
              <w:rPr>
                <w:lang w:val="fr-FR"/>
              </w:rPr>
              <w:t xml:space="preserve">1 n’appelle pas d’explication plus détaillée. Les autres dispositions reprennent les articles 58/1 à 58/5 de la loi </w:t>
            </w:r>
            <w:proofErr w:type="spellStart"/>
            <w:r w:rsidRPr="000E3BCA">
              <w:rPr>
                <w:lang w:val="fr-FR"/>
              </w:rPr>
              <w:t>a&amp;f</w:t>
            </w:r>
            <w:proofErr w:type="spellEnd"/>
            <w:r w:rsidRPr="000E3BCA">
              <w:rPr>
                <w:lang w:val="fr-FR"/>
              </w:rPr>
              <w:t>.</w:t>
            </w:r>
          </w:p>
        </w:tc>
      </w:tr>
      <w:tr w:rsidR="00145D19" w:rsidRPr="000E3BCA" w14:paraId="1980EFB8" w14:textId="77777777" w:rsidTr="00DD1932">
        <w:trPr>
          <w:trHeight w:val="418"/>
        </w:trPr>
        <w:tc>
          <w:tcPr>
            <w:tcW w:w="2122" w:type="dxa"/>
          </w:tcPr>
          <w:p w14:paraId="394334ED" w14:textId="77777777" w:rsidR="00145D19" w:rsidRDefault="00145D19" w:rsidP="00380F34">
            <w:pPr>
              <w:spacing w:after="0" w:line="240" w:lineRule="auto"/>
              <w:jc w:val="both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2523B7E" w14:textId="77777777" w:rsidR="00145D19" w:rsidRDefault="00145D19" w:rsidP="00380F34">
            <w:pPr>
              <w:spacing w:after="0" w:line="240" w:lineRule="auto"/>
              <w:jc w:val="both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7C130FC" w14:textId="77777777" w:rsidR="00145D19" w:rsidRPr="000E3BCA" w:rsidRDefault="00145D19" w:rsidP="00380F34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Pas de remarques.</w:t>
            </w:r>
          </w:p>
        </w:tc>
      </w:tr>
      <w:tr w:rsidR="00145D19" w:rsidRPr="00145D19" w14:paraId="41F6811B" w14:textId="77777777" w:rsidTr="00DD1932">
        <w:trPr>
          <w:trHeight w:val="418"/>
        </w:trPr>
        <w:tc>
          <w:tcPr>
            <w:tcW w:w="2122" w:type="dxa"/>
          </w:tcPr>
          <w:p w14:paraId="027913DB" w14:textId="77777777" w:rsidR="00145D19" w:rsidRPr="00145D19" w:rsidRDefault="00145D19" w:rsidP="00380F3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45D19">
              <w:rPr>
                <w:rFonts w:cstheme="minorHAnsi"/>
              </w:rPr>
              <w:t>Amendement</w:t>
            </w:r>
            <w:proofErr w:type="spellEnd"/>
            <w:r w:rsidRPr="00145D19">
              <w:rPr>
                <w:rFonts w:cstheme="minorHAnsi"/>
              </w:rPr>
              <w:t xml:space="preserve"> 55</w:t>
            </w:r>
          </w:p>
        </w:tc>
        <w:tc>
          <w:tcPr>
            <w:tcW w:w="6047" w:type="dxa"/>
            <w:shd w:val="clear" w:color="auto" w:fill="auto"/>
          </w:tcPr>
          <w:p w14:paraId="79FB59E6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  <w:r w:rsidRPr="00145D19">
              <w:rPr>
                <w:rFonts w:cstheme="minorHAnsi"/>
                <w:bCs/>
                <w:lang w:val="nl-BE"/>
              </w:rPr>
              <w:t>In hoofdstuk III, afdeling IV, een artikel 17/1 invoegen, luidende:</w:t>
            </w:r>
          </w:p>
          <w:p w14:paraId="3AB4C63E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nl-BE"/>
              </w:rPr>
            </w:pPr>
          </w:p>
          <w:p w14:paraId="4426027A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nl-BE"/>
              </w:rPr>
            </w:pPr>
            <w:r w:rsidRPr="00145D19">
              <w:rPr>
                <w:rFonts w:cstheme="minorHAnsi"/>
                <w:iCs/>
                <w:lang w:val="nl-BE"/>
              </w:rPr>
              <w:t>“Art. 17/1. In artikel 119, § 1, tweede lid, van dezelfde wet, worden de woorden “4, § 2, (a) tot (m)” vervangen door de woorden “7, § 2, (a) tot (m)”.”</w:t>
            </w:r>
          </w:p>
          <w:p w14:paraId="0139E6E1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nl-BE"/>
              </w:rPr>
            </w:pPr>
          </w:p>
          <w:p w14:paraId="255AF013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145D19">
              <w:rPr>
                <w:rFonts w:cstheme="minorHAnsi"/>
                <w:lang w:val="nl-BE"/>
              </w:rPr>
              <w:t>VERANTWOORDING</w:t>
            </w:r>
          </w:p>
          <w:p w14:paraId="2CB8D46F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49BA68E6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145D19">
              <w:rPr>
                <w:rFonts w:cstheme="minorHAnsi"/>
                <w:lang w:val="nl-BE"/>
              </w:rPr>
              <w:t>Het betreft een technische aanpassing die de nummering</w:t>
            </w:r>
          </w:p>
          <w:p w14:paraId="0F571517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145D19">
              <w:rPr>
                <w:rFonts w:cstheme="minorHAnsi"/>
                <w:lang w:val="nl-BE"/>
              </w:rPr>
              <w:lastRenderedPageBreak/>
              <w:t>van het artikel afstemt op de Verordening (EU) 2015/848 van het Europees Parlement en de Raad van 20 mei 2015 betreffende de insolventieprocedures.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AD0C0C4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  <w:r w:rsidRPr="00145D19">
              <w:rPr>
                <w:rFonts w:cstheme="minorHAnsi"/>
                <w:bCs/>
                <w:lang w:val="fr-FR"/>
              </w:rPr>
              <w:lastRenderedPageBreak/>
              <w:t xml:space="preserve">Dans le chapitre III, section IV, insérer un article 17/1 rédigé comme </w:t>
            </w:r>
            <w:proofErr w:type="gramStart"/>
            <w:r w:rsidRPr="00145D19">
              <w:rPr>
                <w:rFonts w:cstheme="minorHAnsi"/>
                <w:bCs/>
                <w:lang w:val="fr-FR"/>
              </w:rPr>
              <w:t>suit:</w:t>
            </w:r>
            <w:proofErr w:type="gramEnd"/>
          </w:p>
          <w:p w14:paraId="557FD586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fr-FR"/>
              </w:rPr>
            </w:pPr>
          </w:p>
          <w:p w14:paraId="242F69F8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fr-FR"/>
              </w:rPr>
            </w:pPr>
            <w:r w:rsidRPr="00145D19">
              <w:rPr>
                <w:rFonts w:cstheme="minorHAnsi"/>
                <w:iCs/>
                <w:lang w:val="fr-FR"/>
              </w:rPr>
              <w:t>“Art.17/1. Dans l’article 119, § 1er, alinéa 2, de la même loi, les mots “4, § 2, (a) à (m)” sont remplacés par les mots “7, § 2, (a) à (m)”.”</w:t>
            </w:r>
          </w:p>
          <w:p w14:paraId="4A012556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lang w:val="fr-FR"/>
              </w:rPr>
            </w:pPr>
          </w:p>
          <w:p w14:paraId="290230B5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145D19">
              <w:rPr>
                <w:rFonts w:cstheme="minorHAnsi"/>
                <w:lang w:val="fr-FR"/>
              </w:rPr>
              <w:t>JUSTIFICATION</w:t>
            </w:r>
          </w:p>
          <w:p w14:paraId="541348C6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2DBB68A" w14:textId="77777777" w:rsidR="00145D19" w:rsidRPr="00145D19" w:rsidRDefault="00145D19" w:rsidP="00380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145D19">
              <w:rPr>
                <w:rFonts w:cstheme="minorHAnsi"/>
                <w:lang w:val="fr-FR"/>
              </w:rPr>
              <w:lastRenderedPageBreak/>
              <w:t>Il s’agit d’une adaptation technique qui consiste à aligner la numérotation de l’article avec le Règlement (UE) 2015/848 du Parlement européen et du Conseil du 20 mai 2015 relatif aux procédures d’insolvabilité.</w:t>
            </w:r>
          </w:p>
        </w:tc>
      </w:tr>
    </w:tbl>
    <w:p w14:paraId="28C3D2C3" w14:textId="77777777" w:rsidR="001203BA" w:rsidRPr="000E3BCA" w:rsidRDefault="001203BA" w:rsidP="001203BA">
      <w:pPr>
        <w:rPr>
          <w:lang w:val="fr-FR"/>
        </w:rPr>
      </w:pPr>
    </w:p>
    <w:p w14:paraId="7B79472C" w14:textId="77777777" w:rsidR="00A820D7" w:rsidRPr="000E3BCA" w:rsidRDefault="00A820D7">
      <w:pPr>
        <w:rPr>
          <w:lang w:val="fr-FR"/>
        </w:rPr>
      </w:pPr>
    </w:p>
    <w:sectPr w:rsidR="00A820D7" w:rsidRPr="000E3BCA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E3BCA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45D19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0F34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262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441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8231C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1932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3B49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CDB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2019-11-08T11:42:00Z</dcterms:created>
  <dcterms:modified xsi:type="dcterms:W3CDTF">2022-02-07T15:32:00Z</dcterms:modified>
</cp:coreProperties>
</file>