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3545A5" w14:paraId="17EB88C9" w14:textId="77777777" w:rsidTr="003F2612">
        <w:tc>
          <w:tcPr>
            <w:tcW w:w="2122" w:type="dxa"/>
          </w:tcPr>
          <w:p w14:paraId="2ADF75EE" w14:textId="77777777" w:rsidR="001203BA" w:rsidRPr="00B07AC9" w:rsidRDefault="00265C16" w:rsidP="008409B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</w:t>
            </w:r>
            <w:r w:rsidR="00E92F68">
              <w:rPr>
                <w:b/>
                <w:sz w:val="32"/>
                <w:szCs w:val="32"/>
                <w:lang w:val="nl-BE"/>
              </w:rPr>
              <w:t>:10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59BBE275" w14:textId="77777777" w:rsidR="001B29CB" w:rsidRPr="006F4576" w:rsidRDefault="001B29CB" w:rsidP="008409B7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06EF6AFB" w14:textId="77777777" w:rsidTr="003F2612">
        <w:tc>
          <w:tcPr>
            <w:tcW w:w="2122" w:type="dxa"/>
          </w:tcPr>
          <w:p w14:paraId="41EB382C" w14:textId="77777777" w:rsidR="001203BA" w:rsidRPr="00B07AC9" w:rsidRDefault="001203BA" w:rsidP="008409B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77D6CFD1" w14:textId="77777777" w:rsidR="001203BA" w:rsidRPr="007B17CA" w:rsidRDefault="001203BA" w:rsidP="008409B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92F68" w:rsidRPr="003F2612" w14:paraId="783AD278" w14:textId="77777777" w:rsidTr="003F2612">
        <w:trPr>
          <w:trHeight w:val="2220"/>
        </w:trPr>
        <w:tc>
          <w:tcPr>
            <w:tcW w:w="2122" w:type="dxa"/>
          </w:tcPr>
          <w:p w14:paraId="29E7E1F2" w14:textId="77777777" w:rsidR="00E92F68" w:rsidRDefault="00E92F68" w:rsidP="008409B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3FD3D4AF" w14:textId="77777777" w:rsid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57C15">
              <w:rPr>
                <w:rFonts w:cs="Calibri"/>
                <w:lang w:val="nl-BE"/>
              </w:rPr>
              <w:t xml:space="preserve">In geval van verlies van de Europese rechtspersoonlijkheid in toepassing van artikel 16 van verordening (EU, Euratom) nr. 1141/2014 wordt de EUPS van rechtswege omgezet naar een VZW. </w:t>
            </w:r>
          </w:p>
          <w:p w14:paraId="3C931A43" w14:textId="77777777" w:rsid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2634A43" w14:textId="77777777" w:rsid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57C15">
              <w:rPr>
                <w:rFonts w:cs="Calibri"/>
                <w:lang w:val="nl-BE"/>
              </w:rPr>
              <w:t>Het in artikel 16, lid 7, van verordening (EU, Euratom) nr. 1141/2014 bepaalde wordt in voorkomend geval overlegd met het openbaar ministerie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624E8F2" w14:textId="77777777" w:rsidR="00E92F68" w:rsidRP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57C15">
              <w:rPr>
                <w:rFonts w:cs="Calibri"/>
                <w:lang w:val="fr-BE"/>
              </w:rPr>
              <w:t xml:space="preserve">En cas de perte de la personnalité juridique européenne en application de l'article 16 du règlement (UE, Euratom) n° 1141/2014, la FPEU est transformée de plein droit en ASBL. </w:t>
            </w:r>
          </w:p>
          <w:p w14:paraId="31096874" w14:textId="77777777" w:rsid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0F8EA21" w14:textId="77777777" w:rsidR="00E92F68" w:rsidRDefault="00E92F68" w:rsidP="008409B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57C15">
              <w:rPr>
                <w:rFonts w:cs="Calibri"/>
                <w:lang w:val="fr-BE"/>
              </w:rPr>
              <w:t xml:space="preserve">  Les dispositions de l'article 16, § 7, du règlement (UE, Euratom) n° 1141/2014 font, le cas échéant, l'objet d'une concertation avec le ministère public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C25ADC" w:rsidRPr="003F2612" w14:paraId="109ACDA8" w14:textId="77777777" w:rsidTr="00C25ADC">
        <w:trPr>
          <w:trHeight w:val="409"/>
        </w:trPr>
        <w:tc>
          <w:tcPr>
            <w:tcW w:w="2122" w:type="dxa"/>
          </w:tcPr>
          <w:p w14:paraId="03A947AC" w14:textId="77777777" w:rsidR="00C25ADC" w:rsidRPr="003E7C8F" w:rsidRDefault="00C25ADC" w:rsidP="00CC40A6">
            <w:pPr>
              <w:spacing w:after="0"/>
            </w:pPr>
            <w:proofErr w:type="spellStart"/>
            <w:r w:rsidRPr="003E7C8F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02F518D" w14:textId="77777777" w:rsidR="00C25ADC" w:rsidRPr="003E7C8F" w:rsidRDefault="00C25ADC" w:rsidP="00CC40A6">
            <w:pPr>
              <w:spacing w:after="0"/>
            </w:pPr>
            <w:proofErr w:type="spellStart"/>
            <w:r w:rsidRPr="003E7C8F">
              <w:t>Geen</w:t>
            </w:r>
            <w:proofErr w:type="spellEnd"/>
            <w:r w:rsidRPr="003E7C8F">
              <w:t xml:space="preserve"> </w:t>
            </w:r>
            <w:proofErr w:type="spellStart"/>
            <w:r w:rsidRPr="003E7C8F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02584D51" w14:textId="77777777" w:rsidR="00C25ADC" w:rsidRDefault="00C25ADC" w:rsidP="00CC40A6">
            <w:pPr>
              <w:spacing w:after="0"/>
            </w:pPr>
            <w:r w:rsidRPr="003E7C8F">
              <w:t xml:space="preserve">Pas </w:t>
            </w:r>
            <w:proofErr w:type="spellStart"/>
            <w:r w:rsidRPr="003E7C8F">
              <w:t>d’article</w:t>
            </w:r>
            <w:proofErr w:type="spellEnd"/>
            <w:r>
              <w:t>.</w:t>
            </w:r>
          </w:p>
        </w:tc>
      </w:tr>
      <w:tr w:rsidR="00C25ADC" w:rsidRPr="00C12BD1" w14:paraId="0855BAA8" w14:textId="77777777" w:rsidTr="003F2612">
        <w:trPr>
          <w:trHeight w:val="413"/>
        </w:trPr>
        <w:tc>
          <w:tcPr>
            <w:tcW w:w="2122" w:type="dxa"/>
          </w:tcPr>
          <w:p w14:paraId="1DD06679" w14:textId="77777777" w:rsidR="00C25ADC" w:rsidRPr="00C12BD1" w:rsidRDefault="00C25ADC" w:rsidP="008409B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5EF80287" w14:textId="77777777" w:rsidR="00C25ADC" w:rsidRPr="00C12BD1" w:rsidRDefault="00C25ADC" w:rsidP="008409B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6B85D553" w14:textId="77777777" w:rsidR="00C25ADC" w:rsidRPr="00357C15" w:rsidRDefault="00C25ADC" w:rsidP="008409B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C25ADC" w:rsidRPr="003F2612" w14:paraId="5105FB68" w14:textId="77777777" w:rsidTr="003F2612">
        <w:trPr>
          <w:trHeight w:val="558"/>
        </w:trPr>
        <w:tc>
          <w:tcPr>
            <w:tcW w:w="2122" w:type="dxa"/>
          </w:tcPr>
          <w:p w14:paraId="5BE668EA" w14:textId="77777777" w:rsidR="00C25ADC" w:rsidRPr="003E7C8F" w:rsidRDefault="00C25ADC" w:rsidP="008409B7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153C774" w14:textId="77777777" w:rsidR="00C25ADC" w:rsidRPr="005F3C10" w:rsidRDefault="00C25ADC" w:rsidP="008409B7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5F3C10">
              <w:rPr>
                <w:rFonts w:cs="Calibri"/>
                <w:u w:val="single"/>
                <w:lang w:val="nl-BE"/>
              </w:rPr>
              <w:t>Artikelen 17:7 - 17:11.</w:t>
            </w:r>
          </w:p>
          <w:p w14:paraId="76177CF0" w14:textId="77777777" w:rsidR="00C25ADC" w:rsidRPr="000E2E09" w:rsidRDefault="00C25ADC" w:rsidP="008409B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F3C10">
              <w:rPr>
                <w:rFonts w:cs="Calibri"/>
                <w:lang w:val="nl-BE"/>
              </w:rPr>
              <w:t>Deze bepalingen hernemen de artikelen 58/6 t.e.m. 58/10 v&amp;s-wet.</w:t>
            </w:r>
          </w:p>
        </w:tc>
        <w:tc>
          <w:tcPr>
            <w:tcW w:w="5812" w:type="dxa"/>
            <w:shd w:val="clear" w:color="auto" w:fill="auto"/>
          </w:tcPr>
          <w:p w14:paraId="7E20EE2E" w14:textId="77777777" w:rsidR="00C25ADC" w:rsidRPr="005F3C10" w:rsidRDefault="00C25ADC" w:rsidP="008409B7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5F3C10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5F3C10">
              <w:rPr>
                <w:rFonts w:cs="Calibri"/>
                <w:u w:val="single"/>
                <w:lang w:val="fr-FR"/>
              </w:rPr>
              <w:t>17:</w:t>
            </w:r>
            <w:proofErr w:type="gramEnd"/>
            <w:r w:rsidRPr="005F3C10">
              <w:rPr>
                <w:rFonts w:cs="Calibri"/>
                <w:u w:val="single"/>
                <w:lang w:val="fr-FR"/>
              </w:rPr>
              <w:t>7 - 17:11.</w:t>
            </w:r>
          </w:p>
          <w:p w14:paraId="505E6999" w14:textId="77777777" w:rsidR="00C25ADC" w:rsidRPr="000E2E09" w:rsidRDefault="00C25ADC" w:rsidP="008409B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F3C10">
              <w:rPr>
                <w:rFonts w:cs="Calibri"/>
                <w:lang w:val="fr-BE"/>
              </w:rPr>
              <w:t xml:space="preserve">Ces dispositions reprennent les articles 58/6 à 58/10 la loi </w:t>
            </w:r>
            <w:proofErr w:type="spellStart"/>
            <w:r w:rsidRPr="005F3C10">
              <w:rPr>
                <w:rFonts w:cs="Calibri"/>
                <w:lang w:val="fr-BE"/>
              </w:rPr>
              <w:t>a&amp;f</w:t>
            </w:r>
            <w:proofErr w:type="spellEnd"/>
            <w:r w:rsidRPr="005F3C10">
              <w:rPr>
                <w:rFonts w:cs="Calibri"/>
                <w:lang w:val="fr-BE"/>
              </w:rPr>
              <w:t>.</w:t>
            </w:r>
          </w:p>
        </w:tc>
      </w:tr>
      <w:tr w:rsidR="00C25ADC" w:rsidRPr="00C12BD1" w14:paraId="3974E89D" w14:textId="77777777" w:rsidTr="003F2612">
        <w:trPr>
          <w:trHeight w:val="461"/>
        </w:trPr>
        <w:tc>
          <w:tcPr>
            <w:tcW w:w="2122" w:type="dxa"/>
          </w:tcPr>
          <w:p w14:paraId="6D8AA30A" w14:textId="77777777" w:rsidR="00C25ADC" w:rsidRPr="003E7C8F" w:rsidRDefault="00C25ADC" w:rsidP="008409B7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A9DA3CD" w14:textId="77777777" w:rsidR="00C25ADC" w:rsidRPr="003E7C8F" w:rsidRDefault="00C25ADC" w:rsidP="008409B7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0CA1E257" w14:textId="77777777" w:rsidR="00C25ADC" w:rsidRPr="003E7C8F" w:rsidRDefault="00C25ADC" w:rsidP="008409B7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C25ADC" w:rsidRPr="003F2612" w14:paraId="2ABADD39" w14:textId="77777777" w:rsidTr="003F2612">
        <w:trPr>
          <w:trHeight w:val="558"/>
        </w:trPr>
        <w:tc>
          <w:tcPr>
            <w:tcW w:w="2122" w:type="dxa"/>
          </w:tcPr>
          <w:p w14:paraId="550CB40A" w14:textId="77777777" w:rsidR="00C25ADC" w:rsidRDefault="00C25ADC" w:rsidP="0031752A">
            <w:pPr>
              <w:pStyle w:val="Kop1"/>
            </w:pPr>
            <w:proofErr w:type="spellStart"/>
            <w:r w:rsidRPr="00B47C7C">
              <w:lastRenderedPageBreak/>
              <w:t>Amendement</w:t>
            </w:r>
            <w:proofErr w:type="spellEnd"/>
            <w:r w:rsidRPr="00B47C7C">
              <w:t xml:space="preserve"> 320</w:t>
            </w:r>
          </w:p>
        </w:tc>
        <w:tc>
          <w:tcPr>
            <w:tcW w:w="6047" w:type="dxa"/>
            <w:shd w:val="clear" w:color="auto" w:fill="auto"/>
          </w:tcPr>
          <w:p w14:paraId="6363B7C7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Subamendement op amendement 1</w:t>
            </w:r>
          </w:p>
          <w:p w14:paraId="038E2676" w14:textId="77777777" w:rsidR="00C25AD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In het voorgest</w:t>
            </w:r>
            <w:r>
              <w:rPr>
                <w:lang w:val="nl-BE"/>
              </w:rPr>
              <w:t xml:space="preserve">elde artikel 17:10, de volgend </w:t>
            </w:r>
            <w:r w:rsidRPr="00B47C7C">
              <w:rPr>
                <w:lang w:val="nl-BE"/>
              </w:rPr>
              <w:t>wijzigingen aanbrengen:</w:t>
            </w:r>
          </w:p>
          <w:p w14:paraId="7F66362F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</w:p>
          <w:p w14:paraId="0F39A78E" w14:textId="77777777" w:rsidR="00C25AD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1° in § 1, de tweede zin weglaten;</w:t>
            </w:r>
          </w:p>
          <w:p w14:paraId="31DDBD71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</w:p>
          <w:p w14:paraId="22B95D23" w14:textId="77777777" w:rsidR="00C25AD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2° paragraaf 2 weglaten.</w:t>
            </w:r>
          </w:p>
          <w:p w14:paraId="3C36CD53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</w:p>
          <w:p w14:paraId="1D6FB92E" w14:textId="77777777" w:rsidR="00C25AD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VERANTWOORDING</w:t>
            </w:r>
          </w:p>
          <w:p w14:paraId="621FCCE3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bookmarkStart w:id="0" w:name="_GoBack"/>
            <w:bookmarkEnd w:id="0"/>
          </w:p>
          <w:p w14:paraId="7903FCA0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nl-BE"/>
              </w:rPr>
            </w:pPr>
            <w:r w:rsidRPr="00B47C7C">
              <w:rPr>
                <w:lang w:val="nl-BE"/>
              </w:rPr>
              <w:t>Om elk verschil in behandeling te voorkomen en de toepassing van de procedure van d</w:t>
            </w:r>
            <w:r>
              <w:rPr>
                <w:lang w:val="nl-BE"/>
              </w:rPr>
              <w:t xml:space="preserve">e artikelen 14:46 e.v. mogelijk </w:t>
            </w:r>
            <w:r w:rsidRPr="00B47C7C">
              <w:rPr>
                <w:lang w:val="nl-BE"/>
              </w:rPr>
              <w:t>te maken, worden de tweede zin van § 1, en § 2 geschrapt.</w:t>
            </w:r>
          </w:p>
        </w:tc>
        <w:tc>
          <w:tcPr>
            <w:tcW w:w="5812" w:type="dxa"/>
            <w:shd w:val="clear" w:color="auto" w:fill="auto"/>
          </w:tcPr>
          <w:p w14:paraId="28FF7000" w14:textId="77777777" w:rsidR="00C25ADC" w:rsidRPr="000E2E09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 w:rsidRPr="000E2E09">
              <w:rPr>
                <w:lang w:val="fr-FR"/>
              </w:rPr>
              <w:t>Sous-amendement à amendement 1</w:t>
            </w:r>
          </w:p>
          <w:p w14:paraId="6A787CCD" w14:textId="77777777" w:rsidR="00C25AD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 w:rsidRPr="00B47C7C">
              <w:rPr>
                <w:lang w:val="fr-FR"/>
              </w:rPr>
              <w:t xml:space="preserve">Dans l’article </w:t>
            </w:r>
            <w:proofErr w:type="gramStart"/>
            <w:r w:rsidRPr="00B47C7C">
              <w:rPr>
                <w:lang w:val="fr-FR"/>
              </w:rPr>
              <w:t>17:</w:t>
            </w:r>
            <w:proofErr w:type="gramEnd"/>
            <w:r>
              <w:rPr>
                <w:lang w:val="fr-FR"/>
              </w:rPr>
              <w:t>10 proposé, apporter les modifi</w:t>
            </w:r>
            <w:r w:rsidRPr="00B47C7C">
              <w:rPr>
                <w:lang w:val="fr-FR"/>
              </w:rPr>
              <w:t>cations suivantes:</w:t>
            </w:r>
          </w:p>
          <w:p w14:paraId="2B58A548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</w:p>
          <w:p w14:paraId="02C988B6" w14:textId="77777777" w:rsidR="00C25AD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 w:rsidRPr="00B47C7C">
              <w:rPr>
                <w:lang w:val="fr-FR"/>
              </w:rPr>
              <w:t>1° dans le paragr</w:t>
            </w:r>
            <w:r>
              <w:rPr>
                <w:lang w:val="fr-FR"/>
              </w:rPr>
              <w:t xml:space="preserve">aphe 1er, supprimer la deuxième </w:t>
            </w:r>
            <w:proofErr w:type="gramStart"/>
            <w:r w:rsidRPr="00B47C7C">
              <w:rPr>
                <w:lang w:val="fr-FR"/>
              </w:rPr>
              <w:t>phrase;</w:t>
            </w:r>
            <w:proofErr w:type="gramEnd"/>
          </w:p>
          <w:p w14:paraId="088E6186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</w:p>
          <w:p w14:paraId="593FF605" w14:textId="77777777" w:rsidR="00C25AD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 w:rsidRPr="00B47C7C">
              <w:rPr>
                <w:lang w:val="fr-FR"/>
              </w:rPr>
              <w:t>2° supprimer le paragraphe 2.</w:t>
            </w:r>
          </w:p>
          <w:p w14:paraId="05CE1253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</w:p>
          <w:p w14:paraId="4DA1AFA7" w14:textId="77777777" w:rsidR="00C25AD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 w:rsidRPr="00B47C7C">
              <w:rPr>
                <w:lang w:val="fr-FR"/>
              </w:rPr>
              <w:t>JUSTIFICATION</w:t>
            </w:r>
          </w:p>
          <w:p w14:paraId="4EDC67AB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</w:p>
          <w:p w14:paraId="7881E854" w14:textId="77777777" w:rsidR="00C25ADC" w:rsidRPr="00B47C7C" w:rsidRDefault="00C25ADC" w:rsidP="008409B7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Afi</w:t>
            </w:r>
            <w:r w:rsidRPr="00B47C7C">
              <w:rPr>
                <w:lang w:val="fr-FR"/>
              </w:rPr>
              <w:t>n d’éviter toute différence de traitement et permettre</w:t>
            </w:r>
            <w:r>
              <w:rPr>
                <w:lang w:val="fr-FR"/>
              </w:rPr>
              <w:t xml:space="preserve"> </w:t>
            </w:r>
            <w:r w:rsidRPr="00B47C7C">
              <w:rPr>
                <w:lang w:val="fr-FR"/>
              </w:rPr>
              <w:t xml:space="preserve">l’application de la procédure prévue aux articles </w:t>
            </w:r>
            <w:proofErr w:type="gramStart"/>
            <w:r w:rsidRPr="00B47C7C">
              <w:rPr>
                <w:lang w:val="fr-FR"/>
              </w:rPr>
              <w:t>14:</w:t>
            </w:r>
            <w:proofErr w:type="gramEnd"/>
            <w:r w:rsidRPr="00B47C7C">
              <w:rPr>
                <w:lang w:val="fr-FR"/>
              </w:rPr>
              <w:t xml:space="preserve">46 et suivants, la deuxième phrase du </w:t>
            </w:r>
            <w:r>
              <w:rPr>
                <w:lang w:val="fr-FR"/>
              </w:rPr>
              <w:t xml:space="preserve">paragraphe 1er et le paragraphe </w:t>
            </w:r>
            <w:r w:rsidRPr="00B47C7C">
              <w:rPr>
                <w:lang w:val="fr-FR"/>
              </w:rPr>
              <w:t>2 sont supprimés.</w:t>
            </w:r>
          </w:p>
        </w:tc>
      </w:tr>
    </w:tbl>
    <w:p w14:paraId="5DC58D2D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7EF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B17B4"/>
    <w:rsid w:val="000D6EAF"/>
    <w:rsid w:val="000E14C5"/>
    <w:rsid w:val="000E2E09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5C16"/>
    <w:rsid w:val="00266349"/>
    <w:rsid w:val="00267866"/>
    <w:rsid w:val="00271C8A"/>
    <w:rsid w:val="00274C37"/>
    <w:rsid w:val="00276531"/>
    <w:rsid w:val="002820F5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1752A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2612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188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01B2A"/>
    <w:rsid w:val="006132F3"/>
    <w:rsid w:val="00621861"/>
    <w:rsid w:val="00631F09"/>
    <w:rsid w:val="006348CD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2342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09B7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235D2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47C7C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2BD1"/>
    <w:rsid w:val="00C162B3"/>
    <w:rsid w:val="00C166D1"/>
    <w:rsid w:val="00C1753D"/>
    <w:rsid w:val="00C25ADC"/>
    <w:rsid w:val="00C4014C"/>
    <w:rsid w:val="00C47A8C"/>
    <w:rsid w:val="00C509F8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3250"/>
    <w:rsid w:val="00CB6FFB"/>
    <w:rsid w:val="00CC6422"/>
    <w:rsid w:val="00CF7AC1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2F68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924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31752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31752A"/>
    <w:rPr>
      <w:rFonts w:eastAsiaTheme="majorEastAsia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2019-11-08T11:55:00Z</dcterms:created>
  <dcterms:modified xsi:type="dcterms:W3CDTF">2022-02-07T15:50:00Z</dcterms:modified>
</cp:coreProperties>
</file>