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3545A5" w14:paraId="100C43D1" w14:textId="77777777" w:rsidTr="00FB0251">
        <w:tc>
          <w:tcPr>
            <w:tcW w:w="1980" w:type="dxa"/>
          </w:tcPr>
          <w:p w14:paraId="3367ABA7" w14:textId="77777777" w:rsidR="001203BA" w:rsidRPr="00B07AC9" w:rsidRDefault="005416BD" w:rsidP="00FB0251">
            <w:pPr>
              <w:rPr>
                <w:b/>
                <w:sz w:val="32"/>
                <w:szCs w:val="32"/>
                <w:lang w:val="nl-BE"/>
              </w:rPr>
            </w:pPr>
            <w:r>
              <w:rPr>
                <w:b/>
                <w:sz w:val="32"/>
                <w:szCs w:val="32"/>
                <w:lang w:val="nl-BE"/>
              </w:rPr>
              <w:t>ARTIKEL 17</w:t>
            </w:r>
            <w:r w:rsidR="009235D2">
              <w:rPr>
                <w:b/>
                <w:sz w:val="32"/>
                <w:szCs w:val="32"/>
                <w:lang w:val="nl-BE"/>
              </w:rPr>
              <w:t>:6</w:t>
            </w:r>
          </w:p>
        </w:tc>
        <w:tc>
          <w:tcPr>
            <w:tcW w:w="11765" w:type="dxa"/>
            <w:gridSpan w:val="2"/>
            <w:shd w:val="clear" w:color="auto" w:fill="auto"/>
          </w:tcPr>
          <w:p w14:paraId="2B30F3F8" w14:textId="77777777" w:rsidR="001B29CB" w:rsidRPr="006F4576" w:rsidRDefault="001B29CB" w:rsidP="00FB0251">
            <w:pPr>
              <w:jc w:val="center"/>
              <w:rPr>
                <w:rFonts w:ascii="Cambria" w:eastAsia="Calibri" w:hAnsi="Cambria" w:cs="Times New Roman"/>
                <w:b/>
                <w:bCs/>
                <w:iCs/>
                <w:color w:val="4F81BD"/>
                <w:sz w:val="32"/>
                <w:szCs w:val="26"/>
                <w:lang w:val="nl-BE" w:eastAsia="fr-FR"/>
              </w:rPr>
            </w:pPr>
          </w:p>
        </w:tc>
      </w:tr>
      <w:tr w:rsidR="001203BA" w:rsidRPr="003545A5" w14:paraId="7EA0A700" w14:textId="77777777" w:rsidTr="00FB0251">
        <w:tc>
          <w:tcPr>
            <w:tcW w:w="1980" w:type="dxa"/>
          </w:tcPr>
          <w:p w14:paraId="419270C8" w14:textId="77777777" w:rsidR="001203BA" w:rsidRPr="00B07AC9" w:rsidRDefault="001203BA" w:rsidP="00FB0251">
            <w:pPr>
              <w:rPr>
                <w:b/>
                <w:sz w:val="32"/>
                <w:szCs w:val="32"/>
                <w:lang w:val="nl-BE"/>
              </w:rPr>
            </w:pPr>
          </w:p>
        </w:tc>
        <w:tc>
          <w:tcPr>
            <w:tcW w:w="11765" w:type="dxa"/>
            <w:gridSpan w:val="2"/>
            <w:shd w:val="clear" w:color="auto" w:fill="auto"/>
          </w:tcPr>
          <w:p w14:paraId="29FD89EA" w14:textId="77777777" w:rsidR="001203BA" w:rsidRPr="007B17CA" w:rsidRDefault="001203BA" w:rsidP="00FB0251">
            <w:pPr>
              <w:jc w:val="center"/>
              <w:rPr>
                <w:rFonts w:ascii="Cambria" w:eastAsia="Calibri" w:hAnsi="Cambria" w:cs="Times New Roman"/>
                <w:b/>
                <w:bCs/>
                <w:color w:val="4F81BD"/>
                <w:sz w:val="32"/>
                <w:szCs w:val="26"/>
                <w:lang w:val="nl-NL" w:eastAsia="fr-FR"/>
              </w:rPr>
            </w:pPr>
          </w:p>
        </w:tc>
      </w:tr>
      <w:tr w:rsidR="009235D2" w:rsidRPr="00FB0251" w14:paraId="45D78FE6" w14:textId="77777777" w:rsidTr="00FB0251">
        <w:trPr>
          <w:trHeight w:val="1125"/>
        </w:trPr>
        <w:tc>
          <w:tcPr>
            <w:tcW w:w="1980" w:type="dxa"/>
          </w:tcPr>
          <w:p w14:paraId="7433B8C3" w14:textId="77777777" w:rsidR="009235D2" w:rsidRDefault="009235D2" w:rsidP="00FB0251">
            <w:pPr>
              <w:spacing w:after="0" w:line="240" w:lineRule="auto"/>
              <w:rPr>
                <w:rFonts w:cs="Calibri"/>
                <w:lang w:val="nl-BE"/>
              </w:rPr>
            </w:pPr>
            <w:r>
              <w:rPr>
                <w:rFonts w:cs="Calibri"/>
                <w:lang w:val="nl-BE"/>
              </w:rPr>
              <w:t>WVV</w:t>
            </w:r>
          </w:p>
        </w:tc>
        <w:tc>
          <w:tcPr>
            <w:tcW w:w="5953" w:type="dxa"/>
            <w:shd w:val="clear" w:color="auto" w:fill="auto"/>
          </w:tcPr>
          <w:p w14:paraId="7F440427" w14:textId="77777777" w:rsidR="009235D2" w:rsidRDefault="009235D2" w:rsidP="00FB0251">
            <w:pPr>
              <w:spacing w:after="0" w:line="240" w:lineRule="auto"/>
              <w:jc w:val="both"/>
              <w:rPr>
                <w:rFonts w:cs="Calibri"/>
                <w:lang w:val="nl-BE"/>
              </w:rPr>
            </w:pPr>
            <w:r w:rsidRPr="00D55E64">
              <w:rPr>
                <w:rFonts w:cs="Calibri"/>
                <w:lang w:val="nl-BE"/>
              </w:rPr>
              <w:t xml:space="preserve">§ 1. Uiterlijk binnen twee maanden na de bekendmaking van de buitenlandse zetelverplaatsing, kunnen de schuldeisers van de EUPP die tot zetelverplaatsing overgaat en van wie de vordering </w:t>
            </w:r>
            <w:r>
              <w:rPr>
                <w:rFonts w:cs="Calibri"/>
                <w:lang w:val="nl-BE"/>
              </w:rPr>
              <w:t>vaststaand is vóór die bekendmaking maar nog niet opeisbaar is of die voor deze schuldvordering in rechte of via arbitrage een vordering heeft ingesteld</w:t>
            </w:r>
            <w:r w:rsidRPr="00D55E64">
              <w:rPr>
                <w:rFonts w:cs="Calibri"/>
                <w:lang w:val="nl-BE"/>
              </w:rPr>
              <w:t xml:space="preserve"> vóór die bekendmaking, niettegenstaande enig andersluidend beding, zekerheid eisen</w:t>
            </w:r>
            <w:r>
              <w:rPr>
                <w:rFonts w:cs="Calibri"/>
                <w:lang w:val="nl-BE"/>
              </w:rPr>
              <w:t>.</w:t>
            </w:r>
          </w:p>
          <w:p w14:paraId="6F603AFC" w14:textId="77777777" w:rsidR="009235D2" w:rsidRDefault="009235D2" w:rsidP="00FB0251">
            <w:pPr>
              <w:spacing w:after="0" w:line="240" w:lineRule="auto"/>
              <w:jc w:val="both"/>
              <w:rPr>
                <w:rFonts w:cs="Calibri"/>
                <w:lang w:val="nl-BE"/>
              </w:rPr>
            </w:pPr>
          </w:p>
          <w:p w14:paraId="59C3C843" w14:textId="77777777" w:rsidR="009235D2" w:rsidRDefault="009235D2" w:rsidP="00FB0251">
            <w:pPr>
              <w:spacing w:after="0" w:line="240" w:lineRule="auto"/>
              <w:jc w:val="both"/>
              <w:rPr>
                <w:rFonts w:cs="Calibri"/>
                <w:lang w:val="nl-BE"/>
              </w:rPr>
            </w:pPr>
            <w:r w:rsidRPr="00D55E64">
              <w:rPr>
                <w:rFonts w:cs="Calibri"/>
                <w:lang w:val="nl-BE"/>
              </w:rPr>
              <w:t>De EUPP kan deze eis afweren door de schuldvordering te voldoen tegen haar waarde, na aftrek van het disconto</w:t>
            </w:r>
            <w:r>
              <w:rPr>
                <w:rFonts w:cs="Calibri"/>
                <w:lang w:val="nl-BE"/>
              </w:rPr>
              <w:t>.</w:t>
            </w:r>
          </w:p>
          <w:p w14:paraId="46E68FC6" w14:textId="77777777" w:rsidR="009235D2" w:rsidRDefault="009235D2" w:rsidP="00FB0251">
            <w:pPr>
              <w:spacing w:after="0" w:line="240" w:lineRule="auto"/>
              <w:jc w:val="both"/>
              <w:rPr>
                <w:rFonts w:cs="Calibri"/>
                <w:lang w:val="nl-BE"/>
              </w:rPr>
            </w:pPr>
          </w:p>
          <w:p w14:paraId="16268C2E" w14:textId="77777777" w:rsidR="009235D2" w:rsidRDefault="009235D2" w:rsidP="00FB0251">
            <w:pPr>
              <w:spacing w:after="0" w:line="240" w:lineRule="auto"/>
              <w:jc w:val="both"/>
              <w:rPr>
                <w:rFonts w:cs="Calibri"/>
                <w:lang w:val="nl-BE"/>
              </w:rPr>
            </w:pPr>
            <w:r w:rsidRPr="00D55E64">
              <w:rPr>
                <w:rFonts w:cs="Calibri"/>
                <w:lang w:val="nl-BE"/>
              </w:rPr>
              <w:t xml:space="preserve">Indien geen overeenstemming wordt bereikt of indien de schuldeiser geen voldoening heeft gekregen, wordt het geschil door de meest gerede partij voorgelegd aan de voorzitter van de </w:t>
            </w:r>
            <w:r>
              <w:rPr>
                <w:rFonts w:cs="Calibri"/>
                <w:lang w:val="nl-BE"/>
              </w:rPr>
              <w:t>ondernemings</w:t>
            </w:r>
            <w:r w:rsidRPr="00D55E64">
              <w:rPr>
                <w:rFonts w:cs="Calibri"/>
                <w:lang w:val="nl-BE"/>
              </w:rPr>
              <w:t>rechtbank</w:t>
            </w:r>
            <w:r>
              <w:rPr>
                <w:rFonts w:cs="Calibri"/>
                <w:lang w:val="nl-BE"/>
              </w:rPr>
              <w:t xml:space="preserve"> van het rechtsgebied waarbinnen de schuldplichtige EUPP haar zetel heeft. </w:t>
            </w:r>
            <w:r w:rsidRPr="00D55E64">
              <w:rPr>
                <w:rFonts w:cs="Calibri"/>
                <w:lang w:val="nl-BE"/>
              </w:rPr>
              <w:t>De rechtspleging wordt ingeleid en behandeld in kort geding; hetzelfde geldt voor de tenuitvoerlegging van de gewezen beslissing. Zonder afbreuk te doen aan de grond van de zaak bepaalt de voorzitter de zekerheid die de EUPP moet stellen en de termijn waarbinnen zulks moet geschieden, tenzij hij beslist dat geen zekerheid moet worden gesteld gelet op de waarborgen en de voorrechten waarover de schuldeiser beschikt of gelet op de solvabiliteit van de betrokken EUPP</w:t>
            </w:r>
            <w:r>
              <w:rPr>
                <w:rFonts w:cs="Calibri"/>
                <w:lang w:val="nl-BE"/>
              </w:rPr>
              <w:t>.</w:t>
            </w:r>
          </w:p>
          <w:p w14:paraId="5FDC6DBE" w14:textId="77777777" w:rsidR="009235D2" w:rsidRDefault="009235D2" w:rsidP="00FB0251">
            <w:pPr>
              <w:spacing w:after="0" w:line="240" w:lineRule="auto"/>
              <w:jc w:val="both"/>
              <w:rPr>
                <w:rFonts w:cs="Calibri"/>
                <w:lang w:val="nl-BE"/>
              </w:rPr>
            </w:pPr>
          </w:p>
          <w:p w14:paraId="266AF23C" w14:textId="77777777" w:rsidR="009235D2" w:rsidRDefault="009235D2" w:rsidP="00FB0251">
            <w:pPr>
              <w:spacing w:after="0" w:line="240" w:lineRule="auto"/>
              <w:jc w:val="both"/>
              <w:rPr>
                <w:rFonts w:cs="Calibri"/>
                <w:lang w:val="nl-BE"/>
              </w:rPr>
            </w:pPr>
            <w:r w:rsidRPr="00D55E64">
              <w:rPr>
                <w:rFonts w:cs="Calibri"/>
                <w:lang w:val="nl-BE"/>
              </w:rPr>
              <w:t>Indien de zekerheid niet binnen de bepaalde termijn is gesteld, wordt de schuldvordering onmiddellijk opeisbaar</w:t>
            </w:r>
            <w:r>
              <w:rPr>
                <w:rFonts w:cs="Calibri"/>
                <w:lang w:val="nl-BE"/>
              </w:rPr>
              <w:t>.</w:t>
            </w:r>
          </w:p>
          <w:p w14:paraId="6FDBA3F6" w14:textId="77777777" w:rsidR="009235D2" w:rsidRDefault="009235D2" w:rsidP="00FB0251">
            <w:pPr>
              <w:spacing w:after="0" w:line="240" w:lineRule="auto"/>
              <w:jc w:val="both"/>
              <w:rPr>
                <w:rFonts w:cs="Calibri"/>
                <w:lang w:val="nl-BE"/>
              </w:rPr>
            </w:pPr>
          </w:p>
          <w:p w14:paraId="582E0F19" w14:textId="641AEDE7" w:rsidR="009235D2" w:rsidRDefault="009235D2" w:rsidP="00FB0251">
            <w:pPr>
              <w:spacing w:after="0" w:line="240" w:lineRule="auto"/>
              <w:jc w:val="both"/>
              <w:rPr>
                <w:rFonts w:cs="Calibri"/>
                <w:lang w:val="nl-BE"/>
              </w:rPr>
            </w:pPr>
            <w:r w:rsidRPr="00B056B1">
              <w:rPr>
                <w:rFonts w:cs="Calibri"/>
                <w:lang w:val="nl-BE"/>
              </w:rPr>
              <w:lastRenderedPageBreak/>
              <w:t>§ 2. De doorhaling in België van de oude inschrijving in het rechtspersonenregister ten gevolge van de verplaatsing van de statutaire zetel naar het buitenland wordt</w:t>
            </w:r>
            <w:r w:rsidR="00B83A68">
              <w:rPr>
                <w:rFonts w:cs="Calibri"/>
                <w:lang w:val="nl-BE"/>
              </w:rPr>
              <w:fldChar w:fldCharType="begin"/>
            </w:r>
            <w:r w:rsidR="00B83A68">
              <w:rPr>
                <w:rFonts w:cs="Calibri"/>
                <w:lang w:val="nl-BE"/>
              </w:rPr>
              <w:instrText xml:space="preserve"> HYPERLINK  \l "_Amendement_318" </w:instrText>
            </w:r>
            <w:r w:rsidR="00B83A68">
              <w:rPr>
                <w:rFonts w:cs="Calibri"/>
                <w:lang w:val="nl-BE"/>
              </w:rPr>
            </w:r>
            <w:r w:rsidR="00B83A68">
              <w:rPr>
                <w:rFonts w:cs="Calibri"/>
                <w:lang w:val="nl-BE"/>
              </w:rPr>
              <w:fldChar w:fldCharType="separate"/>
            </w:r>
            <w:r w:rsidRPr="00B83A68">
              <w:rPr>
                <w:rStyle w:val="Hyperlink"/>
                <w:rFonts w:cs="Calibri"/>
                <w:lang w:val="nl-BE"/>
              </w:rPr>
              <w:t xml:space="preserve"> in de Bijlagen bij het Belgisch Staatsblad</w:t>
            </w:r>
            <w:r w:rsidR="00B83A68">
              <w:rPr>
                <w:rFonts w:cs="Calibri"/>
                <w:lang w:val="nl-BE"/>
              </w:rPr>
              <w:fldChar w:fldCharType="end"/>
            </w:r>
            <w:r w:rsidRPr="00B056B1">
              <w:rPr>
                <w:rFonts w:cs="Calibri"/>
                <w:lang w:val="nl-BE"/>
              </w:rPr>
              <w:t xml:space="preserve"> bekendgemaakt</w:t>
            </w:r>
            <w:r>
              <w:rPr>
                <w:rFonts w:cs="Calibri"/>
                <w:lang w:val="nl-BE"/>
              </w:rPr>
              <w:t>.</w:t>
            </w:r>
          </w:p>
        </w:tc>
        <w:tc>
          <w:tcPr>
            <w:tcW w:w="5812" w:type="dxa"/>
            <w:shd w:val="clear" w:color="auto" w:fill="auto"/>
          </w:tcPr>
          <w:p w14:paraId="7A06204C" w14:textId="77777777" w:rsidR="009235D2" w:rsidRPr="009235D2" w:rsidRDefault="009235D2" w:rsidP="00FB0251">
            <w:pPr>
              <w:spacing w:after="0" w:line="240" w:lineRule="auto"/>
              <w:jc w:val="both"/>
              <w:rPr>
                <w:rFonts w:cs="Calibri"/>
                <w:lang w:val="fr-FR"/>
              </w:rPr>
            </w:pPr>
            <w:r w:rsidRPr="00B056B1">
              <w:rPr>
                <w:rFonts w:cs="Calibri"/>
                <w:lang w:val="fr-BE"/>
              </w:rPr>
              <w:lastRenderedPageBreak/>
              <w:t>§ 1</w:t>
            </w:r>
            <w:r w:rsidRPr="00B056B1">
              <w:rPr>
                <w:rFonts w:cs="Calibri"/>
                <w:vertAlign w:val="superscript"/>
                <w:lang w:val="fr-BE"/>
              </w:rPr>
              <w:t>er</w:t>
            </w:r>
            <w:r w:rsidRPr="00B056B1">
              <w:rPr>
                <w:rFonts w:cs="Calibri"/>
                <w:lang w:val="fr-BE"/>
              </w:rPr>
              <w:t>. Au plus tard dans les deux mois de la publication relative au transfert de siège à l'étranger, les créanciers du PPEU qui procède au transfert de son siège et dont la créance est</w:t>
            </w:r>
            <w:r>
              <w:rPr>
                <w:rFonts w:cs="Calibri"/>
                <w:lang w:val="fr-BE"/>
              </w:rPr>
              <w:t xml:space="preserve"> certaine avant cette publication mais n’est pas encore exigible ou dont la créance a fait l’objet d’une action introduite en justice ou par voie d’arbitrage avant cette</w:t>
            </w:r>
            <w:r w:rsidRPr="00B056B1">
              <w:rPr>
                <w:rFonts w:cs="Calibri"/>
                <w:lang w:val="fr-BE"/>
              </w:rPr>
              <w:t xml:space="preserve"> publication, peuvent exiger une sûreté, nonobstant toute convention contraire</w:t>
            </w:r>
            <w:r>
              <w:rPr>
                <w:rFonts w:cs="Calibri"/>
                <w:lang w:val="fr-BE"/>
              </w:rPr>
              <w:t>.</w:t>
            </w:r>
          </w:p>
          <w:p w14:paraId="58120B3A" w14:textId="77777777" w:rsidR="009235D2" w:rsidRDefault="009235D2" w:rsidP="00FB0251">
            <w:pPr>
              <w:spacing w:after="0" w:line="240" w:lineRule="auto"/>
              <w:jc w:val="both"/>
              <w:rPr>
                <w:rFonts w:cs="Calibri"/>
                <w:lang w:val="fr-BE"/>
              </w:rPr>
            </w:pPr>
          </w:p>
          <w:p w14:paraId="4745A795" w14:textId="77777777" w:rsidR="009235D2" w:rsidRDefault="009235D2" w:rsidP="00FB0251">
            <w:pPr>
              <w:spacing w:after="0" w:line="240" w:lineRule="auto"/>
              <w:jc w:val="both"/>
              <w:rPr>
                <w:rFonts w:cs="Calibri"/>
                <w:lang w:val="fr-BE"/>
              </w:rPr>
            </w:pPr>
            <w:r w:rsidRPr="00B056B1">
              <w:rPr>
                <w:rFonts w:cs="Calibri"/>
                <w:lang w:val="fr-BE"/>
              </w:rPr>
              <w:t>Le PPEU peut écarter cette exigence en payant la créance à sa valeur, après déduction de l'escompte</w:t>
            </w:r>
            <w:r>
              <w:rPr>
                <w:rFonts w:cs="Calibri"/>
                <w:lang w:val="fr-BE"/>
              </w:rPr>
              <w:t>.</w:t>
            </w:r>
          </w:p>
          <w:p w14:paraId="563ACE1A" w14:textId="77777777" w:rsidR="009235D2" w:rsidRDefault="009235D2" w:rsidP="00FB0251">
            <w:pPr>
              <w:spacing w:after="0" w:line="240" w:lineRule="auto"/>
              <w:jc w:val="both"/>
              <w:rPr>
                <w:rFonts w:cs="Calibri"/>
                <w:lang w:val="fr-BE"/>
              </w:rPr>
            </w:pPr>
          </w:p>
          <w:p w14:paraId="2901A685" w14:textId="74E81D94" w:rsidR="009235D2" w:rsidRDefault="009235D2" w:rsidP="00FB0251">
            <w:pPr>
              <w:spacing w:after="0" w:line="240" w:lineRule="auto"/>
              <w:jc w:val="both"/>
              <w:rPr>
                <w:rFonts w:cs="Calibri"/>
                <w:lang w:val="fr-BE"/>
              </w:rPr>
            </w:pPr>
            <w:r w:rsidRPr="00B056B1">
              <w:rPr>
                <w:rFonts w:cs="Calibri"/>
                <w:lang w:val="fr-BE"/>
              </w:rPr>
              <w:t xml:space="preserve">A défaut d'accord ou si le créancier n'a pas obtenu satisfaction, la contestation est soumise par la partie la plus diligente au président du tribunal de </w:t>
            </w:r>
            <w:r>
              <w:rPr>
                <w:rFonts w:cs="Calibri"/>
                <w:lang w:val="fr-BE"/>
              </w:rPr>
              <w:t xml:space="preserve">l’entreprise du ressort </w:t>
            </w:r>
            <w:hyperlink w:anchor="_Amendement_318_1" w:history="1">
              <w:r w:rsidRPr="00B83A68">
                <w:rPr>
                  <w:rStyle w:val="Hyperlink"/>
                  <w:rFonts w:cs="Calibri"/>
                  <w:lang w:val="fr-BE"/>
                </w:rPr>
                <w:t>dans lequel</w:t>
              </w:r>
            </w:hyperlink>
            <w:r>
              <w:rPr>
                <w:rFonts w:cs="Calibri"/>
                <w:lang w:val="fr-BE"/>
              </w:rPr>
              <w:t xml:space="preserve"> </w:t>
            </w:r>
            <w:r w:rsidRPr="00B056B1">
              <w:rPr>
                <w:rFonts w:cs="Calibri"/>
                <w:lang w:val="fr-BE"/>
              </w:rPr>
              <w:t>le PPEU débiteur a son siège. La procédure est introduite et instruite en référé ; il en est de même de l'exécution de la décision rendue. Tous droits saufs au fond, le président détermine la sûreté à fournir par le PPEU et fixe le délai dans lequel elle doit être constituée, à moins qu'il ne décide qu'aucune sûreté ne sera fournie, eu égard soit aux garanties et privilèges dont jouit le créancier, soit à la solvabilité du PPEU concerné</w:t>
            </w:r>
            <w:r>
              <w:rPr>
                <w:rFonts w:cs="Calibri"/>
                <w:lang w:val="fr-BE"/>
              </w:rPr>
              <w:t>.</w:t>
            </w:r>
          </w:p>
          <w:p w14:paraId="3F5E0572" w14:textId="77777777" w:rsidR="009235D2" w:rsidRDefault="009235D2" w:rsidP="00FB0251">
            <w:pPr>
              <w:spacing w:after="0" w:line="240" w:lineRule="auto"/>
              <w:jc w:val="both"/>
              <w:rPr>
                <w:rFonts w:cs="Calibri"/>
                <w:lang w:val="fr-BE"/>
              </w:rPr>
            </w:pPr>
          </w:p>
          <w:p w14:paraId="1503CB0C" w14:textId="77777777" w:rsidR="009235D2" w:rsidRDefault="009235D2" w:rsidP="00FB0251">
            <w:pPr>
              <w:spacing w:after="0" w:line="240" w:lineRule="auto"/>
              <w:jc w:val="both"/>
              <w:rPr>
                <w:rFonts w:cs="Calibri"/>
                <w:lang w:val="fr-BE"/>
              </w:rPr>
            </w:pPr>
            <w:r w:rsidRPr="00B056B1">
              <w:rPr>
                <w:rFonts w:cs="Calibri"/>
                <w:lang w:val="fr-BE"/>
              </w:rPr>
              <w:t>Si la sûreté n'est pas fournie dans le délai fixé, la créance devient immédiatement exigible</w:t>
            </w:r>
            <w:r>
              <w:rPr>
                <w:rFonts w:cs="Calibri"/>
                <w:lang w:val="fr-BE"/>
              </w:rPr>
              <w:t>.</w:t>
            </w:r>
          </w:p>
          <w:p w14:paraId="4D913CA9" w14:textId="77777777" w:rsidR="009235D2" w:rsidRDefault="009235D2" w:rsidP="00FB0251">
            <w:pPr>
              <w:spacing w:after="0" w:line="240" w:lineRule="auto"/>
              <w:jc w:val="both"/>
              <w:rPr>
                <w:rFonts w:cs="Calibri"/>
                <w:lang w:val="fr-BE"/>
              </w:rPr>
            </w:pPr>
          </w:p>
          <w:p w14:paraId="57D10D2A" w14:textId="4B8F1FCD" w:rsidR="009235D2" w:rsidRDefault="009235D2" w:rsidP="00FB0251">
            <w:pPr>
              <w:spacing w:after="0" w:line="240" w:lineRule="auto"/>
              <w:jc w:val="both"/>
              <w:rPr>
                <w:rFonts w:cs="Calibri"/>
                <w:lang w:val="fr-BE"/>
              </w:rPr>
            </w:pPr>
            <w:r w:rsidRPr="00B056B1">
              <w:rPr>
                <w:rFonts w:cs="Calibri"/>
                <w:lang w:val="fr-BE"/>
              </w:rPr>
              <w:t xml:space="preserve">§ 2. La radiation en Belgique de l'ancienne immatriculation au registre des personnes morales suite au transfert à l'étranger du siège statutaire est publiée </w:t>
            </w:r>
            <w:hyperlink w:anchor="_Amendement_318_2" w:history="1">
              <w:r w:rsidRPr="00B83A68">
                <w:rPr>
                  <w:rStyle w:val="Hyperlink"/>
                  <w:rFonts w:cs="Calibri"/>
                  <w:lang w:val="fr-BE"/>
                </w:rPr>
                <w:t>aux Annexes du Moniteur belge.</w:t>
              </w:r>
            </w:hyperlink>
            <w:bookmarkStart w:id="0" w:name="_GoBack"/>
            <w:bookmarkEnd w:id="0"/>
          </w:p>
          <w:p w14:paraId="09F2E212" w14:textId="77777777" w:rsidR="009235D2" w:rsidRDefault="009235D2" w:rsidP="00FB0251">
            <w:pPr>
              <w:spacing w:after="0" w:line="240" w:lineRule="auto"/>
              <w:jc w:val="both"/>
              <w:rPr>
                <w:rFonts w:cs="Calibri"/>
                <w:lang w:val="fr-BE"/>
              </w:rPr>
            </w:pPr>
          </w:p>
        </w:tc>
      </w:tr>
      <w:tr w:rsidR="006361D5" w:rsidRPr="00FB0251" w14:paraId="397AA810" w14:textId="77777777" w:rsidTr="006361D5">
        <w:trPr>
          <w:trHeight w:val="396"/>
        </w:trPr>
        <w:tc>
          <w:tcPr>
            <w:tcW w:w="1980" w:type="dxa"/>
          </w:tcPr>
          <w:p w14:paraId="79B84FB4" w14:textId="77777777" w:rsidR="006361D5" w:rsidRPr="00702F97" w:rsidRDefault="006361D5" w:rsidP="00CC40A6">
            <w:pPr>
              <w:spacing w:after="0"/>
            </w:pPr>
            <w:proofErr w:type="spellStart"/>
            <w:r w:rsidRPr="00702F97">
              <w:lastRenderedPageBreak/>
              <w:t>Ontwerp</w:t>
            </w:r>
            <w:proofErr w:type="spellEnd"/>
          </w:p>
        </w:tc>
        <w:tc>
          <w:tcPr>
            <w:tcW w:w="5953" w:type="dxa"/>
            <w:shd w:val="clear" w:color="auto" w:fill="auto"/>
          </w:tcPr>
          <w:p w14:paraId="2ED6B4D6" w14:textId="77777777" w:rsidR="006361D5" w:rsidRPr="00702F97" w:rsidRDefault="006361D5" w:rsidP="00CC40A6">
            <w:pPr>
              <w:spacing w:after="0"/>
            </w:pPr>
            <w:proofErr w:type="spellStart"/>
            <w:r w:rsidRPr="00702F97">
              <w:t>Geen</w:t>
            </w:r>
            <w:proofErr w:type="spellEnd"/>
            <w:r w:rsidRPr="00702F97">
              <w:t xml:space="preserve"> </w:t>
            </w:r>
            <w:proofErr w:type="spellStart"/>
            <w:r w:rsidRPr="00702F97">
              <w:t>artikel</w:t>
            </w:r>
            <w:proofErr w:type="spellEnd"/>
            <w:r>
              <w:t>.</w:t>
            </w:r>
          </w:p>
        </w:tc>
        <w:tc>
          <w:tcPr>
            <w:tcW w:w="5812" w:type="dxa"/>
            <w:shd w:val="clear" w:color="auto" w:fill="auto"/>
          </w:tcPr>
          <w:p w14:paraId="7DE446BC" w14:textId="77777777" w:rsidR="006361D5" w:rsidRDefault="006361D5" w:rsidP="00CC40A6">
            <w:pPr>
              <w:spacing w:after="0"/>
            </w:pPr>
            <w:r w:rsidRPr="00702F97">
              <w:t xml:space="preserve">Pas </w:t>
            </w:r>
            <w:proofErr w:type="spellStart"/>
            <w:r w:rsidRPr="00702F97">
              <w:t>d’article</w:t>
            </w:r>
            <w:proofErr w:type="spellEnd"/>
            <w:r>
              <w:t>.</w:t>
            </w:r>
          </w:p>
        </w:tc>
      </w:tr>
      <w:tr w:rsidR="006361D5" w:rsidRPr="00C96728" w14:paraId="214E36FD" w14:textId="77777777" w:rsidTr="00FB0251">
        <w:trPr>
          <w:trHeight w:val="407"/>
        </w:trPr>
        <w:tc>
          <w:tcPr>
            <w:tcW w:w="1980" w:type="dxa"/>
          </w:tcPr>
          <w:p w14:paraId="318E3AC4" w14:textId="77777777" w:rsidR="006361D5" w:rsidRPr="00C96728" w:rsidRDefault="006361D5" w:rsidP="00FB0251">
            <w:pPr>
              <w:spacing w:after="0" w:line="240" w:lineRule="auto"/>
              <w:rPr>
                <w:rFonts w:cs="Calibri"/>
                <w:lang w:val="fr-FR"/>
              </w:rPr>
            </w:pPr>
            <w:proofErr w:type="spellStart"/>
            <w:r>
              <w:rPr>
                <w:rFonts w:cs="Calibri"/>
                <w:lang w:val="fr-FR"/>
              </w:rPr>
              <w:t>Voorontwerp</w:t>
            </w:r>
            <w:proofErr w:type="spellEnd"/>
          </w:p>
        </w:tc>
        <w:tc>
          <w:tcPr>
            <w:tcW w:w="5953" w:type="dxa"/>
            <w:shd w:val="clear" w:color="auto" w:fill="auto"/>
          </w:tcPr>
          <w:p w14:paraId="38713996" w14:textId="77777777" w:rsidR="006361D5" w:rsidRPr="00C96728" w:rsidRDefault="006361D5" w:rsidP="00FB0251">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shd w:val="clear" w:color="auto" w:fill="auto"/>
          </w:tcPr>
          <w:p w14:paraId="6ABAF4CC" w14:textId="77777777" w:rsidR="006361D5" w:rsidRPr="00B056B1" w:rsidRDefault="006361D5" w:rsidP="00FB0251">
            <w:pPr>
              <w:spacing w:after="0" w:line="240" w:lineRule="auto"/>
              <w:jc w:val="both"/>
              <w:rPr>
                <w:rFonts w:cs="Calibri"/>
                <w:lang w:val="fr-BE"/>
              </w:rPr>
            </w:pPr>
            <w:r>
              <w:rPr>
                <w:rFonts w:cs="Calibri"/>
                <w:lang w:val="fr-BE"/>
              </w:rPr>
              <w:t>Pas d’article.</w:t>
            </w:r>
          </w:p>
        </w:tc>
      </w:tr>
      <w:tr w:rsidR="006361D5" w:rsidRPr="00FB0251" w14:paraId="43E21786" w14:textId="77777777" w:rsidTr="00FB0251">
        <w:trPr>
          <w:trHeight w:val="426"/>
        </w:trPr>
        <w:tc>
          <w:tcPr>
            <w:tcW w:w="1980" w:type="dxa"/>
          </w:tcPr>
          <w:p w14:paraId="50A04B92" w14:textId="77777777" w:rsidR="006361D5" w:rsidRPr="00702F97" w:rsidRDefault="006361D5" w:rsidP="00FB0251">
            <w:pPr>
              <w:spacing w:after="0" w:line="240" w:lineRule="auto"/>
              <w:jc w:val="both"/>
            </w:pPr>
            <w:proofErr w:type="spellStart"/>
            <w:r>
              <w:t>MvT</w:t>
            </w:r>
            <w:proofErr w:type="spellEnd"/>
          </w:p>
        </w:tc>
        <w:tc>
          <w:tcPr>
            <w:tcW w:w="5953" w:type="dxa"/>
            <w:shd w:val="clear" w:color="auto" w:fill="auto"/>
          </w:tcPr>
          <w:p w14:paraId="307FFAB4" w14:textId="77777777" w:rsidR="006361D5" w:rsidRPr="00FB0251" w:rsidRDefault="006361D5" w:rsidP="00FB0251">
            <w:pPr>
              <w:spacing w:after="0" w:line="240" w:lineRule="auto"/>
              <w:jc w:val="both"/>
              <w:rPr>
                <w:u w:val="single"/>
                <w:lang w:val="nl-BE"/>
              </w:rPr>
            </w:pPr>
            <w:r w:rsidRPr="00FB0251">
              <w:rPr>
                <w:u w:val="single"/>
                <w:lang w:val="nl-BE"/>
              </w:rPr>
              <w:t>Artikelen 17:1 - 17:6.</w:t>
            </w:r>
          </w:p>
          <w:p w14:paraId="38C19CFD" w14:textId="77777777" w:rsidR="006361D5" w:rsidRPr="006202FB" w:rsidRDefault="006361D5" w:rsidP="00FB0251">
            <w:pPr>
              <w:spacing w:after="0" w:line="240" w:lineRule="auto"/>
              <w:jc w:val="both"/>
              <w:rPr>
                <w:lang w:val="nl-BE"/>
              </w:rPr>
            </w:pPr>
            <w:r w:rsidRPr="006202FB">
              <w:rPr>
                <w:lang w:val="nl-BE"/>
              </w:rPr>
              <w:t>Artikel 17:1 behoeft geen nadere uitleg. De overige bepalingen hernemen de artikelen 58/1 t.e.m. 58/5 v&amp;s-wet</w:t>
            </w:r>
          </w:p>
        </w:tc>
        <w:tc>
          <w:tcPr>
            <w:tcW w:w="5812" w:type="dxa"/>
            <w:shd w:val="clear" w:color="auto" w:fill="auto"/>
          </w:tcPr>
          <w:p w14:paraId="76B06854" w14:textId="77777777" w:rsidR="006361D5" w:rsidRPr="00FB0251" w:rsidRDefault="006361D5" w:rsidP="00FB0251">
            <w:pPr>
              <w:spacing w:after="0" w:line="240" w:lineRule="auto"/>
              <w:jc w:val="both"/>
              <w:rPr>
                <w:u w:val="single"/>
                <w:lang w:val="fr-FR"/>
              </w:rPr>
            </w:pPr>
            <w:r w:rsidRPr="00FB0251">
              <w:rPr>
                <w:u w:val="single"/>
                <w:lang w:val="fr-FR"/>
              </w:rPr>
              <w:t xml:space="preserve">Articles </w:t>
            </w:r>
            <w:proofErr w:type="gramStart"/>
            <w:r w:rsidRPr="00FB0251">
              <w:rPr>
                <w:u w:val="single"/>
                <w:lang w:val="fr-FR"/>
              </w:rPr>
              <w:t>17:</w:t>
            </w:r>
            <w:proofErr w:type="gramEnd"/>
            <w:r w:rsidRPr="00FB0251">
              <w:rPr>
                <w:u w:val="single"/>
                <w:lang w:val="fr-FR"/>
              </w:rPr>
              <w:t>1 - 17:6.</w:t>
            </w:r>
          </w:p>
          <w:p w14:paraId="689F5739" w14:textId="77777777" w:rsidR="006361D5" w:rsidRPr="006202FB" w:rsidRDefault="006361D5" w:rsidP="00FB0251">
            <w:pPr>
              <w:spacing w:after="0" w:line="240" w:lineRule="auto"/>
              <w:jc w:val="both"/>
              <w:rPr>
                <w:lang w:val="fr-FR"/>
              </w:rPr>
            </w:pPr>
            <w:r w:rsidRPr="006202FB">
              <w:rPr>
                <w:lang w:val="fr-FR"/>
              </w:rPr>
              <w:t xml:space="preserve">L’article </w:t>
            </w:r>
            <w:proofErr w:type="gramStart"/>
            <w:r w:rsidRPr="006202FB">
              <w:rPr>
                <w:lang w:val="fr-FR"/>
              </w:rPr>
              <w:t>17:</w:t>
            </w:r>
            <w:proofErr w:type="gramEnd"/>
            <w:r w:rsidRPr="006202FB">
              <w:rPr>
                <w:lang w:val="fr-FR"/>
              </w:rPr>
              <w:t xml:space="preserve">1 n’appelle pas d’explication plus détaillée. Les autres dispositions reprennent les articles 58/1 à 58/5 de la loi </w:t>
            </w:r>
            <w:proofErr w:type="spellStart"/>
            <w:r w:rsidRPr="006202FB">
              <w:rPr>
                <w:lang w:val="fr-FR"/>
              </w:rPr>
              <w:t>a&amp;f</w:t>
            </w:r>
            <w:proofErr w:type="spellEnd"/>
            <w:r w:rsidRPr="006202FB">
              <w:rPr>
                <w:lang w:val="fr-FR"/>
              </w:rPr>
              <w:t>.</w:t>
            </w:r>
          </w:p>
        </w:tc>
      </w:tr>
      <w:tr w:rsidR="006361D5" w:rsidRPr="006202FB" w14:paraId="1A347A13" w14:textId="77777777" w:rsidTr="00FB0251">
        <w:trPr>
          <w:trHeight w:val="426"/>
        </w:trPr>
        <w:tc>
          <w:tcPr>
            <w:tcW w:w="1980" w:type="dxa"/>
          </w:tcPr>
          <w:p w14:paraId="53AD4625" w14:textId="77777777" w:rsidR="006361D5" w:rsidRPr="006202FB" w:rsidRDefault="006361D5" w:rsidP="00FB0251">
            <w:pPr>
              <w:spacing w:after="0" w:line="240" w:lineRule="auto"/>
              <w:jc w:val="both"/>
              <w:rPr>
                <w:lang w:val="fr-FR"/>
              </w:rPr>
            </w:pPr>
            <w:proofErr w:type="spellStart"/>
            <w:r>
              <w:rPr>
                <w:lang w:val="fr-FR"/>
              </w:rPr>
              <w:t>RvSt</w:t>
            </w:r>
            <w:proofErr w:type="spellEnd"/>
          </w:p>
        </w:tc>
        <w:tc>
          <w:tcPr>
            <w:tcW w:w="5953" w:type="dxa"/>
            <w:shd w:val="clear" w:color="auto" w:fill="auto"/>
          </w:tcPr>
          <w:p w14:paraId="3968EACF" w14:textId="77777777" w:rsidR="006361D5" w:rsidRPr="006202FB" w:rsidRDefault="006361D5" w:rsidP="00FB0251">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p>
        </w:tc>
        <w:tc>
          <w:tcPr>
            <w:tcW w:w="5812" w:type="dxa"/>
            <w:shd w:val="clear" w:color="auto" w:fill="auto"/>
          </w:tcPr>
          <w:p w14:paraId="0904DA39" w14:textId="77777777" w:rsidR="006361D5" w:rsidRPr="006202FB" w:rsidRDefault="006361D5" w:rsidP="00FB0251">
            <w:pPr>
              <w:spacing w:after="0" w:line="240" w:lineRule="auto"/>
              <w:jc w:val="both"/>
              <w:rPr>
                <w:lang w:val="fr-FR"/>
              </w:rPr>
            </w:pPr>
            <w:r>
              <w:rPr>
                <w:lang w:val="fr-FR"/>
              </w:rPr>
              <w:t>Pas de remarques.</w:t>
            </w:r>
          </w:p>
        </w:tc>
      </w:tr>
      <w:tr w:rsidR="006361D5" w:rsidRPr="00FB0251" w14:paraId="57727781" w14:textId="77777777" w:rsidTr="00FB0251">
        <w:trPr>
          <w:trHeight w:val="426"/>
        </w:trPr>
        <w:tc>
          <w:tcPr>
            <w:tcW w:w="1980" w:type="dxa"/>
          </w:tcPr>
          <w:p w14:paraId="6A3BFBAC" w14:textId="77777777" w:rsidR="006361D5" w:rsidRDefault="006361D5" w:rsidP="00FB0251">
            <w:pPr>
              <w:spacing w:after="0" w:line="240" w:lineRule="auto"/>
              <w:jc w:val="both"/>
              <w:rPr>
                <w:lang w:val="fr-FR"/>
              </w:rPr>
            </w:pPr>
            <w:proofErr w:type="spellStart"/>
            <w:r>
              <w:rPr>
                <w:lang w:val="fr-FR"/>
              </w:rPr>
              <w:t>RvSt</w:t>
            </w:r>
            <w:proofErr w:type="spellEnd"/>
            <w:r>
              <w:rPr>
                <w:lang w:val="fr-FR"/>
              </w:rPr>
              <w:t xml:space="preserve"> 2</w:t>
            </w:r>
          </w:p>
        </w:tc>
        <w:tc>
          <w:tcPr>
            <w:tcW w:w="5953" w:type="dxa"/>
            <w:shd w:val="clear" w:color="auto" w:fill="auto"/>
          </w:tcPr>
          <w:p w14:paraId="1A32EE59" w14:textId="77777777" w:rsidR="006361D5" w:rsidRPr="006202FB" w:rsidRDefault="006361D5" w:rsidP="00FB0251">
            <w:pPr>
              <w:spacing w:after="0" w:line="240" w:lineRule="auto"/>
              <w:jc w:val="both"/>
              <w:rPr>
                <w:lang w:val="nl-BE"/>
              </w:rPr>
            </w:pPr>
            <w:r w:rsidRPr="006202FB">
              <w:rPr>
                <w:lang w:val="nl-BE"/>
              </w:rPr>
              <w:t>1. In de Franse tekst van paragraaf 1, derde lid, moeten de woorden “dans l’arrondissement duquel” vervangen worden door de woorden “de l’arrondissement dans lequel”.</w:t>
            </w:r>
          </w:p>
          <w:p w14:paraId="2EEE7F49" w14:textId="77777777" w:rsidR="006361D5" w:rsidRPr="006202FB" w:rsidRDefault="006361D5" w:rsidP="00FB0251">
            <w:pPr>
              <w:spacing w:after="0" w:line="240" w:lineRule="auto"/>
              <w:jc w:val="both"/>
              <w:rPr>
                <w:lang w:val="nl-BE"/>
              </w:rPr>
            </w:pPr>
            <w:r w:rsidRPr="006202FB">
              <w:rPr>
                <w:lang w:val="nl-BE"/>
              </w:rPr>
              <w:t>Dezelfde opmerking geldt voor het voorgestelde artikel 17:11, § 1, derde lid.</w:t>
            </w:r>
          </w:p>
          <w:p w14:paraId="0E95DAC8" w14:textId="77777777" w:rsidR="006361D5" w:rsidRPr="006202FB" w:rsidRDefault="006361D5" w:rsidP="00FB0251">
            <w:pPr>
              <w:spacing w:after="0" w:line="240" w:lineRule="auto"/>
              <w:jc w:val="both"/>
              <w:rPr>
                <w:lang w:val="nl-BE"/>
              </w:rPr>
            </w:pPr>
            <w:r w:rsidRPr="006202FB">
              <w:rPr>
                <w:lang w:val="nl-BE"/>
              </w:rPr>
              <w:t>2. De hoofdelijke aansprakelijkheid waarin paragraaf 1, vierde lid, voorziet, zou alleen zin hebben indien er verscheidene schuldenaars zijn. Dit artikel voorziet echter niet in de toevoeging van een andere schuldenaar dan de EUPP. De woorden “en is de EUPP hoofdelijk gehouden tot nakoming van deze verbintenis” moeten geschrapt worden.</w:t>
            </w:r>
          </w:p>
          <w:p w14:paraId="25F6D42B" w14:textId="77777777" w:rsidR="006361D5" w:rsidRPr="006202FB" w:rsidRDefault="006361D5" w:rsidP="00FB0251">
            <w:pPr>
              <w:spacing w:after="0" w:line="240" w:lineRule="auto"/>
              <w:jc w:val="both"/>
              <w:rPr>
                <w:lang w:val="nl-BE"/>
              </w:rPr>
            </w:pPr>
            <w:r w:rsidRPr="006202FB">
              <w:rPr>
                <w:lang w:val="nl-BE"/>
              </w:rPr>
              <w:t>Dezelfde opmerking geldt mutatis mutandis voor het voorgestelde artikel 17:11, § 1, vierde lid.</w:t>
            </w:r>
          </w:p>
          <w:p w14:paraId="0936413A" w14:textId="77777777" w:rsidR="006361D5" w:rsidRPr="006202FB" w:rsidRDefault="006361D5" w:rsidP="00FB0251">
            <w:pPr>
              <w:spacing w:after="0" w:line="240" w:lineRule="auto"/>
              <w:jc w:val="both"/>
              <w:rPr>
                <w:lang w:val="nl-BE"/>
              </w:rPr>
            </w:pPr>
            <w:r w:rsidRPr="006202FB">
              <w:rPr>
                <w:lang w:val="nl-BE"/>
              </w:rPr>
              <w:t>3. De vraag rijst of de doorhaling waarvan sprake is in paragraaf 2 niet in de Bijlagen bij het Belgisch Staatsblad bekendgemaakt moet worden in plaats van in het Belgisch Staatsblad zelf.</w:t>
            </w:r>
          </w:p>
          <w:p w14:paraId="01710C1D" w14:textId="77777777" w:rsidR="006361D5" w:rsidRPr="006202FB" w:rsidRDefault="006361D5" w:rsidP="00FB0251">
            <w:pPr>
              <w:spacing w:after="0" w:line="240" w:lineRule="auto"/>
              <w:jc w:val="both"/>
              <w:rPr>
                <w:lang w:val="nl-BE"/>
              </w:rPr>
            </w:pPr>
            <w:r w:rsidRPr="006202FB">
              <w:rPr>
                <w:lang w:val="nl-BE"/>
              </w:rPr>
              <w:t>Dezelfde vraag rijst in verband met het voorgestelde artikel 17:11, § 2.</w:t>
            </w:r>
          </w:p>
        </w:tc>
        <w:tc>
          <w:tcPr>
            <w:tcW w:w="5812" w:type="dxa"/>
            <w:shd w:val="clear" w:color="auto" w:fill="auto"/>
          </w:tcPr>
          <w:p w14:paraId="68EA774B" w14:textId="77777777" w:rsidR="006361D5" w:rsidRPr="006202FB" w:rsidRDefault="006361D5" w:rsidP="00FB0251">
            <w:pPr>
              <w:spacing w:after="0" w:line="240" w:lineRule="auto"/>
              <w:jc w:val="both"/>
              <w:rPr>
                <w:lang w:val="fr-FR"/>
              </w:rPr>
            </w:pPr>
            <w:r w:rsidRPr="006202FB">
              <w:rPr>
                <w:lang w:val="fr-FR"/>
              </w:rPr>
              <w:t>1. Dans le texte français du paragraphe 1er, alinéa 3, les mots « dans l’arrondissement duquel » seront remplacés par les mots « de l’arrondissement dans lequel ».</w:t>
            </w:r>
          </w:p>
          <w:p w14:paraId="05EF7262" w14:textId="77777777" w:rsidR="006361D5" w:rsidRPr="006202FB" w:rsidRDefault="006361D5" w:rsidP="00FB0251">
            <w:pPr>
              <w:spacing w:after="0" w:line="240" w:lineRule="auto"/>
              <w:jc w:val="both"/>
              <w:rPr>
                <w:lang w:val="fr-FR"/>
              </w:rPr>
            </w:pPr>
            <w:r w:rsidRPr="006202FB">
              <w:rPr>
                <w:lang w:val="fr-FR"/>
              </w:rPr>
              <w:t xml:space="preserve">La même observation s’applique à l’article </w:t>
            </w:r>
            <w:proofErr w:type="gramStart"/>
            <w:r w:rsidRPr="006202FB">
              <w:rPr>
                <w:lang w:val="fr-FR"/>
              </w:rPr>
              <w:t>17:</w:t>
            </w:r>
            <w:proofErr w:type="gramEnd"/>
            <w:r w:rsidRPr="006202FB">
              <w:rPr>
                <w:lang w:val="fr-FR"/>
              </w:rPr>
              <w:t>11, § 1er, alinéa 3, proposé.</w:t>
            </w:r>
          </w:p>
          <w:p w14:paraId="4E03DB63" w14:textId="77777777" w:rsidR="006361D5" w:rsidRPr="006202FB" w:rsidRDefault="006361D5" w:rsidP="00FB0251">
            <w:pPr>
              <w:spacing w:after="0" w:line="240" w:lineRule="auto"/>
              <w:jc w:val="both"/>
              <w:rPr>
                <w:lang w:val="fr-FR"/>
              </w:rPr>
            </w:pPr>
            <w:r w:rsidRPr="006202FB">
              <w:rPr>
                <w:lang w:val="fr-FR"/>
              </w:rPr>
              <w:t>2. La solidarité prévue au paragraphe 1er, alinéa 4, n’aurait de sens que s’il y a plusieurs débiteurs. Or, cet article ne prévoit pas l’adjonction d’un débiteur autre que le PPEU. Les mots « et le PPEU est tenu solidairement pour cette obligation » seront omis.</w:t>
            </w:r>
          </w:p>
          <w:p w14:paraId="0504513D" w14:textId="77777777" w:rsidR="006361D5" w:rsidRPr="006202FB" w:rsidRDefault="006361D5" w:rsidP="00FB0251">
            <w:pPr>
              <w:spacing w:after="0" w:line="240" w:lineRule="auto"/>
              <w:jc w:val="both"/>
              <w:rPr>
                <w:lang w:val="fr-FR"/>
              </w:rPr>
            </w:pPr>
            <w:r w:rsidRPr="006202FB">
              <w:rPr>
                <w:lang w:val="fr-FR"/>
              </w:rPr>
              <w:t xml:space="preserve">La même observation s’applique mutatis mutandis à l’article </w:t>
            </w:r>
            <w:proofErr w:type="gramStart"/>
            <w:r w:rsidRPr="006202FB">
              <w:rPr>
                <w:lang w:val="fr-FR"/>
              </w:rPr>
              <w:t>17:</w:t>
            </w:r>
            <w:proofErr w:type="gramEnd"/>
            <w:r w:rsidRPr="006202FB">
              <w:rPr>
                <w:lang w:val="fr-FR"/>
              </w:rPr>
              <w:t>11, § 1er, alinéa 4, proposé.</w:t>
            </w:r>
          </w:p>
          <w:p w14:paraId="11AD56B2" w14:textId="77777777" w:rsidR="006361D5" w:rsidRPr="006202FB" w:rsidRDefault="006361D5" w:rsidP="00FB0251">
            <w:pPr>
              <w:spacing w:after="0" w:line="240" w:lineRule="auto"/>
              <w:jc w:val="both"/>
              <w:rPr>
                <w:lang w:val="fr-FR"/>
              </w:rPr>
            </w:pPr>
            <w:r w:rsidRPr="006202FB">
              <w:rPr>
                <w:lang w:val="fr-FR"/>
              </w:rPr>
              <w:t>3.</w:t>
            </w:r>
            <w:r w:rsidRPr="006202FB">
              <w:rPr>
                <w:lang w:val="fr-FR"/>
              </w:rPr>
              <w:tab/>
              <w:t>La question se pose de savoir si la publication dont il est question au paragraphe 2 ne doit pas être effectuée dans les Annexes du Moniteur belge plutôt que dans le Moniteur belge lui-même.</w:t>
            </w:r>
          </w:p>
          <w:p w14:paraId="41E3B3B8" w14:textId="77777777" w:rsidR="006361D5" w:rsidRPr="006202FB" w:rsidRDefault="006361D5" w:rsidP="00FB0251">
            <w:pPr>
              <w:spacing w:after="0" w:line="240" w:lineRule="auto"/>
              <w:jc w:val="both"/>
              <w:rPr>
                <w:lang w:val="fr-FR"/>
              </w:rPr>
            </w:pPr>
            <w:r w:rsidRPr="006202FB">
              <w:rPr>
                <w:lang w:val="fr-FR"/>
              </w:rPr>
              <w:t xml:space="preserve">La même question se pose à l’article </w:t>
            </w:r>
            <w:proofErr w:type="gramStart"/>
            <w:r w:rsidRPr="006202FB">
              <w:rPr>
                <w:lang w:val="fr-FR"/>
              </w:rPr>
              <w:t>17:</w:t>
            </w:r>
            <w:proofErr w:type="gramEnd"/>
            <w:r w:rsidRPr="006202FB">
              <w:rPr>
                <w:lang w:val="fr-FR"/>
              </w:rPr>
              <w:t>11, § 2, proposé.</w:t>
            </w:r>
          </w:p>
        </w:tc>
      </w:tr>
      <w:tr w:rsidR="006361D5" w:rsidRPr="00FB0251" w14:paraId="1E7F176F" w14:textId="77777777" w:rsidTr="00FB0251">
        <w:trPr>
          <w:trHeight w:val="426"/>
        </w:trPr>
        <w:tc>
          <w:tcPr>
            <w:tcW w:w="1980" w:type="dxa"/>
          </w:tcPr>
          <w:p w14:paraId="5D5F6BA6" w14:textId="77777777" w:rsidR="006361D5" w:rsidRPr="003D1D70" w:rsidRDefault="006361D5" w:rsidP="003D1D70">
            <w:pPr>
              <w:pStyle w:val="Kop1"/>
              <w:rPr>
                <w:lang w:val="fr-FR"/>
              </w:rPr>
            </w:pPr>
            <w:bookmarkStart w:id="1" w:name="_Amendement_318"/>
            <w:bookmarkStart w:id="2" w:name="_Amendement_318_1"/>
            <w:bookmarkStart w:id="3" w:name="_Amendement_318_2"/>
            <w:bookmarkEnd w:id="1"/>
            <w:bookmarkEnd w:id="2"/>
            <w:bookmarkEnd w:id="3"/>
            <w:r w:rsidRPr="003D1D70">
              <w:rPr>
                <w:lang w:val="fr-FR"/>
              </w:rPr>
              <w:lastRenderedPageBreak/>
              <w:t>Amendement 318</w:t>
            </w:r>
          </w:p>
        </w:tc>
        <w:tc>
          <w:tcPr>
            <w:tcW w:w="5953" w:type="dxa"/>
            <w:shd w:val="clear" w:color="auto" w:fill="auto"/>
          </w:tcPr>
          <w:p w14:paraId="30B1ACB4" w14:textId="77777777" w:rsidR="006361D5" w:rsidRPr="003D1D70" w:rsidRDefault="006361D5" w:rsidP="00FB0251">
            <w:pPr>
              <w:autoSpaceDE w:val="0"/>
              <w:autoSpaceDN w:val="0"/>
              <w:adjustRightInd w:val="0"/>
              <w:spacing w:after="0" w:line="240" w:lineRule="auto"/>
              <w:jc w:val="both"/>
              <w:rPr>
                <w:rFonts w:cstheme="minorHAnsi"/>
                <w:bCs/>
                <w:lang w:val="nl-BE"/>
              </w:rPr>
            </w:pPr>
            <w:r w:rsidRPr="003D1D70">
              <w:rPr>
                <w:rFonts w:cstheme="minorHAnsi"/>
                <w:bCs/>
                <w:lang w:val="nl-BE"/>
              </w:rPr>
              <w:t>In het voorgestelde artikel 17:6, de volgende wijzigingen aanbrengen:</w:t>
            </w:r>
          </w:p>
          <w:p w14:paraId="2B3B305C" w14:textId="77777777" w:rsidR="006361D5" w:rsidRPr="003D1D70" w:rsidRDefault="006361D5" w:rsidP="00FB0251">
            <w:pPr>
              <w:autoSpaceDE w:val="0"/>
              <w:autoSpaceDN w:val="0"/>
              <w:adjustRightInd w:val="0"/>
              <w:spacing w:after="0" w:line="240" w:lineRule="auto"/>
              <w:jc w:val="both"/>
              <w:rPr>
                <w:rFonts w:cstheme="minorHAnsi"/>
                <w:bCs/>
                <w:lang w:val="nl-BE"/>
              </w:rPr>
            </w:pPr>
          </w:p>
          <w:p w14:paraId="18BB1164" w14:textId="77777777" w:rsidR="006361D5" w:rsidRPr="003D1D70" w:rsidRDefault="006361D5" w:rsidP="00FB0251">
            <w:pPr>
              <w:autoSpaceDE w:val="0"/>
              <w:autoSpaceDN w:val="0"/>
              <w:adjustRightInd w:val="0"/>
              <w:spacing w:after="0" w:line="240" w:lineRule="auto"/>
              <w:jc w:val="both"/>
              <w:rPr>
                <w:rFonts w:cstheme="minorHAnsi"/>
                <w:bCs/>
                <w:lang w:val="nl-BE"/>
              </w:rPr>
            </w:pPr>
            <w:r w:rsidRPr="003D1D70">
              <w:rPr>
                <w:rFonts w:cstheme="minorHAnsi"/>
                <w:bCs/>
                <w:lang w:val="nl-BE"/>
              </w:rPr>
              <w:t xml:space="preserve">1° in § 1, in de Franse tekst van het derde lid, de woorden </w:t>
            </w:r>
            <w:r w:rsidRPr="003D1D70">
              <w:rPr>
                <w:rFonts w:cstheme="minorHAnsi"/>
                <w:lang w:val="nl-BE"/>
              </w:rPr>
              <w:t xml:space="preserve">“dans l’arrondissement duquel” </w:t>
            </w:r>
            <w:r w:rsidRPr="003D1D70">
              <w:rPr>
                <w:rFonts w:cstheme="minorHAnsi"/>
                <w:bCs/>
                <w:lang w:val="nl-BE"/>
              </w:rPr>
              <w:t xml:space="preserve">vervangen door de woorden </w:t>
            </w:r>
            <w:r w:rsidRPr="003D1D70">
              <w:rPr>
                <w:rFonts w:cstheme="minorHAnsi"/>
                <w:iCs/>
                <w:lang w:val="nl-BE"/>
              </w:rPr>
              <w:t>“de l’arrondissement dans lequel”</w:t>
            </w:r>
            <w:r w:rsidRPr="003D1D70">
              <w:rPr>
                <w:rFonts w:cstheme="minorHAnsi"/>
                <w:bCs/>
                <w:lang w:val="nl-BE"/>
              </w:rPr>
              <w:t>;</w:t>
            </w:r>
          </w:p>
          <w:p w14:paraId="5B96E63E" w14:textId="77777777" w:rsidR="006361D5" w:rsidRPr="003D1D70" w:rsidRDefault="006361D5" w:rsidP="00FB0251">
            <w:pPr>
              <w:autoSpaceDE w:val="0"/>
              <w:autoSpaceDN w:val="0"/>
              <w:adjustRightInd w:val="0"/>
              <w:spacing w:after="0" w:line="240" w:lineRule="auto"/>
              <w:jc w:val="both"/>
              <w:rPr>
                <w:rFonts w:cstheme="minorHAnsi"/>
                <w:bCs/>
                <w:lang w:val="nl-BE"/>
              </w:rPr>
            </w:pPr>
          </w:p>
          <w:p w14:paraId="55E1A468" w14:textId="77777777" w:rsidR="003D1D70" w:rsidRDefault="006361D5" w:rsidP="00FB0251">
            <w:pPr>
              <w:autoSpaceDE w:val="0"/>
              <w:autoSpaceDN w:val="0"/>
              <w:adjustRightInd w:val="0"/>
              <w:spacing w:after="0" w:line="240" w:lineRule="auto"/>
              <w:jc w:val="both"/>
              <w:rPr>
                <w:rFonts w:cstheme="minorHAnsi"/>
                <w:bCs/>
                <w:lang w:val="nl-BE"/>
              </w:rPr>
            </w:pPr>
            <w:r w:rsidRPr="003D1D70">
              <w:rPr>
                <w:rFonts w:cstheme="minorHAnsi"/>
                <w:bCs/>
                <w:lang w:val="nl-BE"/>
              </w:rPr>
              <w:t xml:space="preserve">2° in § 1, vierde lid, de woorden </w:t>
            </w:r>
            <w:r w:rsidRPr="003D1D70">
              <w:rPr>
                <w:rFonts w:cstheme="minorHAnsi"/>
                <w:lang w:val="nl-BE"/>
              </w:rPr>
              <w:t xml:space="preserve">“en is de EUPP hoofdelijk gehouden tot nakoming van deze verbintenis” </w:t>
            </w:r>
            <w:r w:rsidRPr="003D1D70">
              <w:rPr>
                <w:rFonts w:cstheme="minorHAnsi"/>
                <w:bCs/>
                <w:lang w:val="nl-BE"/>
              </w:rPr>
              <w:t xml:space="preserve">schrappen; </w:t>
            </w:r>
          </w:p>
          <w:p w14:paraId="0CDD6030" w14:textId="77777777" w:rsidR="003D1D70" w:rsidRDefault="003D1D70" w:rsidP="00FB0251">
            <w:pPr>
              <w:autoSpaceDE w:val="0"/>
              <w:autoSpaceDN w:val="0"/>
              <w:adjustRightInd w:val="0"/>
              <w:spacing w:after="0" w:line="240" w:lineRule="auto"/>
              <w:jc w:val="both"/>
              <w:rPr>
                <w:rFonts w:cstheme="minorHAnsi"/>
                <w:bCs/>
                <w:lang w:val="nl-BE"/>
              </w:rPr>
            </w:pPr>
          </w:p>
          <w:p w14:paraId="470BCC36" w14:textId="4C6D0172" w:rsidR="006361D5" w:rsidRPr="003D1D70" w:rsidRDefault="006361D5" w:rsidP="00FB0251">
            <w:pPr>
              <w:autoSpaceDE w:val="0"/>
              <w:autoSpaceDN w:val="0"/>
              <w:adjustRightInd w:val="0"/>
              <w:spacing w:after="0" w:line="240" w:lineRule="auto"/>
              <w:jc w:val="both"/>
              <w:rPr>
                <w:rFonts w:cstheme="minorHAnsi"/>
                <w:bCs/>
                <w:lang w:val="nl-BE"/>
              </w:rPr>
            </w:pPr>
            <w:r w:rsidRPr="003D1D70">
              <w:rPr>
                <w:rFonts w:cstheme="minorHAnsi"/>
                <w:bCs/>
                <w:lang w:val="nl-BE"/>
              </w:rPr>
              <w:t xml:space="preserve">3° in § 2, de woorden </w:t>
            </w:r>
            <w:r w:rsidRPr="003D1D70">
              <w:rPr>
                <w:rFonts w:cstheme="minorHAnsi"/>
                <w:lang w:val="nl-BE"/>
              </w:rPr>
              <w:t xml:space="preserve">“in het Belgisch Staatsblad” </w:t>
            </w:r>
            <w:r w:rsidRPr="003D1D70">
              <w:rPr>
                <w:rFonts w:cstheme="minorHAnsi"/>
                <w:bCs/>
                <w:lang w:val="nl-BE"/>
              </w:rPr>
              <w:t xml:space="preserve">vervangen door de woorden </w:t>
            </w:r>
            <w:r w:rsidRPr="003D1D70">
              <w:rPr>
                <w:rFonts w:cstheme="minorHAnsi"/>
                <w:iCs/>
                <w:lang w:val="nl-BE"/>
              </w:rPr>
              <w:t>“in de Bijlagen bij het Belgisch Staatsblad”</w:t>
            </w:r>
            <w:r w:rsidRPr="003D1D70">
              <w:rPr>
                <w:rFonts w:cstheme="minorHAnsi"/>
                <w:bCs/>
                <w:lang w:val="nl-BE"/>
              </w:rPr>
              <w:t>.</w:t>
            </w:r>
          </w:p>
          <w:p w14:paraId="2AA61ED7" w14:textId="77777777" w:rsidR="006361D5" w:rsidRPr="003D1D70" w:rsidRDefault="006361D5" w:rsidP="00FB0251">
            <w:pPr>
              <w:autoSpaceDE w:val="0"/>
              <w:autoSpaceDN w:val="0"/>
              <w:adjustRightInd w:val="0"/>
              <w:spacing w:after="0" w:line="240" w:lineRule="auto"/>
              <w:jc w:val="both"/>
              <w:rPr>
                <w:rFonts w:cstheme="minorHAnsi"/>
                <w:bCs/>
                <w:lang w:val="nl-BE"/>
              </w:rPr>
            </w:pPr>
          </w:p>
          <w:p w14:paraId="41F9F52C" w14:textId="77777777" w:rsidR="006361D5" w:rsidRPr="003D1D70" w:rsidRDefault="006361D5" w:rsidP="00FB0251">
            <w:pPr>
              <w:autoSpaceDE w:val="0"/>
              <w:autoSpaceDN w:val="0"/>
              <w:adjustRightInd w:val="0"/>
              <w:spacing w:after="0" w:line="240" w:lineRule="auto"/>
              <w:jc w:val="both"/>
              <w:rPr>
                <w:rFonts w:cstheme="minorHAnsi"/>
                <w:lang w:val="nl-BE"/>
              </w:rPr>
            </w:pPr>
            <w:r w:rsidRPr="003D1D70">
              <w:rPr>
                <w:rFonts w:cstheme="minorHAnsi"/>
                <w:lang w:val="nl-BE"/>
              </w:rPr>
              <w:t>VERANTWOORDING</w:t>
            </w:r>
          </w:p>
          <w:p w14:paraId="2D3F755F" w14:textId="77777777" w:rsidR="006361D5" w:rsidRPr="003D1D70" w:rsidRDefault="006361D5" w:rsidP="00FB0251">
            <w:pPr>
              <w:autoSpaceDE w:val="0"/>
              <w:autoSpaceDN w:val="0"/>
              <w:adjustRightInd w:val="0"/>
              <w:spacing w:after="0" w:line="240" w:lineRule="auto"/>
              <w:jc w:val="both"/>
              <w:rPr>
                <w:rFonts w:cstheme="minorHAnsi"/>
                <w:lang w:val="nl-BE"/>
              </w:rPr>
            </w:pPr>
          </w:p>
          <w:p w14:paraId="768695ED" w14:textId="77777777" w:rsidR="006361D5" w:rsidRPr="003D1D70" w:rsidRDefault="006361D5" w:rsidP="00FB0251">
            <w:pPr>
              <w:spacing w:after="0" w:line="240" w:lineRule="auto"/>
              <w:jc w:val="both"/>
              <w:rPr>
                <w:rFonts w:cstheme="minorHAnsi"/>
                <w:lang w:val="nl-BE"/>
              </w:rPr>
            </w:pPr>
            <w:r w:rsidRPr="003D1D70">
              <w:rPr>
                <w:rFonts w:cstheme="minorHAnsi"/>
                <w:lang w:val="nl-BE"/>
              </w:rPr>
              <w:t>Dit amendement corrigeert materiële vergissingen.</w:t>
            </w:r>
          </w:p>
        </w:tc>
        <w:tc>
          <w:tcPr>
            <w:tcW w:w="5812" w:type="dxa"/>
            <w:shd w:val="clear" w:color="auto" w:fill="auto"/>
          </w:tcPr>
          <w:p w14:paraId="24328BD4" w14:textId="77777777" w:rsidR="006361D5" w:rsidRPr="003D1D70" w:rsidRDefault="006361D5" w:rsidP="00FB0251">
            <w:pPr>
              <w:autoSpaceDE w:val="0"/>
              <w:autoSpaceDN w:val="0"/>
              <w:adjustRightInd w:val="0"/>
              <w:spacing w:after="0" w:line="240" w:lineRule="auto"/>
              <w:jc w:val="both"/>
              <w:rPr>
                <w:rFonts w:cstheme="minorHAnsi"/>
                <w:bCs/>
                <w:lang w:val="fr-FR"/>
              </w:rPr>
            </w:pPr>
            <w:r w:rsidRPr="003D1D70">
              <w:rPr>
                <w:rFonts w:cstheme="minorHAnsi"/>
                <w:bCs/>
                <w:lang w:val="fr-FR"/>
              </w:rPr>
              <w:t xml:space="preserve">Dans l’article </w:t>
            </w:r>
            <w:proofErr w:type="gramStart"/>
            <w:r w:rsidRPr="003D1D70">
              <w:rPr>
                <w:rFonts w:cstheme="minorHAnsi"/>
                <w:bCs/>
                <w:lang w:val="fr-FR"/>
              </w:rPr>
              <w:t>17:</w:t>
            </w:r>
            <w:proofErr w:type="gramEnd"/>
            <w:r w:rsidRPr="003D1D70">
              <w:rPr>
                <w:rFonts w:cstheme="minorHAnsi"/>
                <w:bCs/>
                <w:lang w:val="fr-FR"/>
              </w:rPr>
              <w:t>6 proposé, apporter les modifications suivantes:</w:t>
            </w:r>
          </w:p>
          <w:p w14:paraId="422AF8B1" w14:textId="77777777" w:rsidR="006361D5" w:rsidRPr="003D1D70" w:rsidRDefault="006361D5" w:rsidP="00FB0251">
            <w:pPr>
              <w:autoSpaceDE w:val="0"/>
              <w:autoSpaceDN w:val="0"/>
              <w:adjustRightInd w:val="0"/>
              <w:spacing w:after="0" w:line="240" w:lineRule="auto"/>
              <w:jc w:val="both"/>
              <w:rPr>
                <w:rFonts w:cstheme="minorHAnsi"/>
                <w:bCs/>
                <w:lang w:val="fr-FR"/>
              </w:rPr>
            </w:pPr>
          </w:p>
          <w:p w14:paraId="05936C61" w14:textId="77777777" w:rsidR="006361D5" w:rsidRPr="003D1D70" w:rsidRDefault="006361D5" w:rsidP="00FB0251">
            <w:pPr>
              <w:autoSpaceDE w:val="0"/>
              <w:autoSpaceDN w:val="0"/>
              <w:adjustRightInd w:val="0"/>
              <w:spacing w:after="0" w:line="240" w:lineRule="auto"/>
              <w:jc w:val="both"/>
              <w:rPr>
                <w:rFonts w:cstheme="minorHAnsi"/>
                <w:bCs/>
                <w:lang w:val="fr-FR"/>
              </w:rPr>
            </w:pPr>
            <w:r w:rsidRPr="003D1D70">
              <w:rPr>
                <w:rFonts w:cstheme="minorHAnsi"/>
                <w:bCs/>
                <w:lang w:val="fr-FR"/>
              </w:rPr>
              <w:t xml:space="preserve">1° au § 1er, alinéa 3, remplacer les mots </w:t>
            </w:r>
            <w:r w:rsidRPr="003D1D70">
              <w:rPr>
                <w:rFonts w:cstheme="minorHAnsi"/>
                <w:lang w:val="fr-FR"/>
              </w:rPr>
              <w:t xml:space="preserve">“dans l’arrondissement duquel” </w:t>
            </w:r>
            <w:r w:rsidRPr="003D1D70">
              <w:rPr>
                <w:rFonts w:cstheme="minorHAnsi"/>
                <w:bCs/>
                <w:lang w:val="fr-FR"/>
              </w:rPr>
              <w:t xml:space="preserve">par les mots </w:t>
            </w:r>
            <w:r w:rsidRPr="003D1D70">
              <w:rPr>
                <w:rFonts w:cstheme="minorHAnsi"/>
                <w:iCs/>
                <w:lang w:val="fr-FR"/>
              </w:rPr>
              <w:t>“de l’arrondissement dans lequel</w:t>
            </w:r>
            <w:proofErr w:type="gramStart"/>
            <w:r w:rsidRPr="003D1D70">
              <w:rPr>
                <w:rFonts w:cstheme="minorHAnsi"/>
                <w:iCs/>
                <w:lang w:val="fr-FR"/>
              </w:rPr>
              <w:t>”</w:t>
            </w:r>
            <w:r w:rsidRPr="003D1D70">
              <w:rPr>
                <w:rFonts w:cstheme="minorHAnsi"/>
                <w:bCs/>
                <w:lang w:val="fr-FR"/>
              </w:rPr>
              <w:t>;</w:t>
            </w:r>
            <w:proofErr w:type="gramEnd"/>
          </w:p>
          <w:p w14:paraId="03B1830F" w14:textId="77777777" w:rsidR="006361D5" w:rsidRPr="003D1D70" w:rsidRDefault="006361D5" w:rsidP="00FB0251">
            <w:pPr>
              <w:autoSpaceDE w:val="0"/>
              <w:autoSpaceDN w:val="0"/>
              <w:adjustRightInd w:val="0"/>
              <w:spacing w:after="0" w:line="240" w:lineRule="auto"/>
              <w:jc w:val="both"/>
              <w:rPr>
                <w:rFonts w:cstheme="minorHAnsi"/>
                <w:bCs/>
                <w:lang w:val="fr-FR"/>
              </w:rPr>
            </w:pPr>
          </w:p>
          <w:p w14:paraId="23BFC8E3" w14:textId="77777777" w:rsidR="003D1D70" w:rsidRDefault="006361D5" w:rsidP="00FB0251">
            <w:pPr>
              <w:autoSpaceDE w:val="0"/>
              <w:autoSpaceDN w:val="0"/>
              <w:adjustRightInd w:val="0"/>
              <w:spacing w:after="0" w:line="240" w:lineRule="auto"/>
              <w:jc w:val="both"/>
              <w:rPr>
                <w:rFonts w:cstheme="minorHAnsi"/>
                <w:bCs/>
                <w:lang w:val="fr-FR"/>
              </w:rPr>
            </w:pPr>
            <w:r w:rsidRPr="003D1D70">
              <w:rPr>
                <w:rFonts w:cstheme="minorHAnsi"/>
                <w:bCs/>
                <w:lang w:val="fr-FR"/>
              </w:rPr>
              <w:t xml:space="preserve">2° au § 1er, alinéa 4, supprimer les mots </w:t>
            </w:r>
            <w:r w:rsidRPr="003D1D70">
              <w:rPr>
                <w:rFonts w:cstheme="minorHAnsi"/>
                <w:lang w:val="fr-FR"/>
              </w:rPr>
              <w:t>“et le PPEU est tenu solidairement pour cette obligation</w:t>
            </w:r>
            <w:proofErr w:type="gramStart"/>
            <w:r w:rsidRPr="003D1D70">
              <w:rPr>
                <w:rFonts w:cstheme="minorHAnsi"/>
                <w:lang w:val="fr-FR"/>
              </w:rPr>
              <w:t>”</w:t>
            </w:r>
            <w:r w:rsidRPr="003D1D70">
              <w:rPr>
                <w:rFonts w:cstheme="minorHAnsi"/>
                <w:bCs/>
                <w:lang w:val="fr-FR"/>
              </w:rPr>
              <w:t>;</w:t>
            </w:r>
            <w:proofErr w:type="gramEnd"/>
            <w:r w:rsidRPr="003D1D70">
              <w:rPr>
                <w:rFonts w:cstheme="minorHAnsi"/>
                <w:bCs/>
                <w:lang w:val="fr-FR"/>
              </w:rPr>
              <w:t xml:space="preserve"> </w:t>
            </w:r>
          </w:p>
          <w:p w14:paraId="4CF0D6CE" w14:textId="77777777" w:rsidR="003D1D70" w:rsidRDefault="003D1D70" w:rsidP="00FB0251">
            <w:pPr>
              <w:autoSpaceDE w:val="0"/>
              <w:autoSpaceDN w:val="0"/>
              <w:adjustRightInd w:val="0"/>
              <w:spacing w:after="0" w:line="240" w:lineRule="auto"/>
              <w:jc w:val="both"/>
              <w:rPr>
                <w:rFonts w:cstheme="minorHAnsi"/>
                <w:bCs/>
                <w:lang w:val="fr-FR"/>
              </w:rPr>
            </w:pPr>
          </w:p>
          <w:p w14:paraId="4BFD844E" w14:textId="0F8A6FD4" w:rsidR="006361D5" w:rsidRPr="003D1D70" w:rsidRDefault="006361D5" w:rsidP="00FB0251">
            <w:pPr>
              <w:autoSpaceDE w:val="0"/>
              <w:autoSpaceDN w:val="0"/>
              <w:adjustRightInd w:val="0"/>
              <w:spacing w:after="0" w:line="240" w:lineRule="auto"/>
              <w:jc w:val="both"/>
              <w:rPr>
                <w:rFonts w:cstheme="minorHAnsi"/>
                <w:bCs/>
                <w:lang w:val="fr-FR"/>
              </w:rPr>
            </w:pPr>
            <w:r w:rsidRPr="003D1D70">
              <w:rPr>
                <w:rFonts w:cstheme="minorHAnsi"/>
                <w:bCs/>
                <w:lang w:val="fr-FR"/>
              </w:rPr>
              <w:t xml:space="preserve">3° au § 2, remplacer les mots </w:t>
            </w:r>
            <w:r w:rsidRPr="003D1D70">
              <w:rPr>
                <w:rFonts w:cstheme="minorHAnsi"/>
                <w:lang w:val="fr-FR"/>
              </w:rPr>
              <w:t xml:space="preserve">“au Moniteur belge” </w:t>
            </w:r>
            <w:r w:rsidRPr="003D1D70">
              <w:rPr>
                <w:rFonts w:cstheme="minorHAnsi"/>
                <w:bCs/>
                <w:lang w:val="fr-FR"/>
              </w:rPr>
              <w:t xml:space="preserve">par les mots </w:t>
            </w:r>
            <w:r w:rsidRPr="003D1D70">
              <w:rPr>
                <w:rFonts w:cstheme="minorHAnsi"/>
                <w:iCs/>
                <w:lang w:val="fr-FR"/>
              </w:rPr>
              <w:t>“aux Annexes du Moniteur belge”</w:t>
            </w:r>
            <w:r w:rsidRPr="003D1D70">
              <w:rPr>
                <w:rFonts w:cstheme="minorHAnsi"/>
                <w:bCs/>
                <w:lang w:val="fr-FR"/>
              </w:rPr>
              <w:t>.</w:t>
            </w:r>
          </w:p>
          <w:p w14:paraId="57C98478" w14:textId="77777777" w:rsidR="006361D5" w:rsidRPr="003D1D70" w:rsidRDefault="006361D5" w:rsidP="00FB0251">
            <w:pPr>
              <w:autoSpaceDE w:val="0"/>
              <w:autoSpaceDN w:val="0"/>
              <w:adjustRightInd w:val="0"/>
              <w:spacing w:after="0" w:line="240" w:lineRule="auto"/>
              <w:jc w:val="both"/>
              <w:rPr>
                <w:rFonts w:cstheme="minorHAnsi"/>
                <w:bCs/>
                <w:lang w:val="fr-FR"/>
              </w:rPr>
            </w:pPr>
          </w:p>
          <w:p w14:paraId="68EBCB27" w14:textId="77777777" w:rsidR="006361D5" w:rsidRPr="003D1D70" w:rsidRDefault="006361D5" w:rsidP="00FB0251">
            <w:pPr>
              <w:autoSpaceDE w:val="0"/>
              <w:autoSpaceDN w:val="0"/>
              <w:adjustRightInd w:val="0"/>
              <w:spacing w:after="0" w:line="240" w:lineRule="auto"/>
              <w:jc w:val="both"/>
              <w:rPr>
                <w:rFonts w:cstheme="minorHAnsi"/>
                <w:lang w:val="fr-FR"/>
              </w:rPr>
            </w:pPr>
            <w:r w:rsidRPr="003D1D70">
              <w:rPr>
                <w:rFonts w:cstheme="minorHAnsi"/>
                <w:lang w:val="fr-FR"/>
              </w:rPr>
              <w:t>JUSTIFICATION</w:t>
            </w:r>
          </w:p>
          <w:p w14:paraId="38DD9606" w14:textId="77777777" w:rsidR="006361D5" w:rsidRPr="003D1D70" w:rsidRDefault="006361D5" w:rsidP="00FB0251">
            <w:pPr>
              <w:autoSpaceDE w:val="0"/>
              <w:autoSpaceDN w:val="0"/>
              <w:adjustRightInd w:val="0"/>
              <w:spacing w:after="0" w:line="240" w:lineRule="auto"/>
              <w:jc w:val="both"/>
              <w:rPr>
                <w:rFonts w:cstheme="minorHAnsi"/>
                <w:lang w:val="fr-FR"/>
              </w:rPr>
            </w:pPr>
          </w:p>
          <w:p w14:paraId="27D12B83" w14:textId="77777777" w:rsidR="006361D5" w:rsidRPr="003D1D70" w:rsidRDefault="006361D5" w:rsidP="00FB0251">
            <w:pPr>
              <w:autoSpaceDE w:val="0"/>
              <w:autoSpaceDN w:val="0"/>
              <w:adjustRightInd w:val="0"/>
              <w:spacing w:after="0" w:line="240" w:lineRule="auto"/>
              <w:jc w:val="both"/>
              <w:rPr>
                <w:rFonts w:cstheme="minorHAnsi"/>
                <w:lang w:val="fr-FR"/>
              </w:rPr>
            </w:pPr>
            <w:r w:rsidRPr="003D1D70">
              <w:rPr>
                <w:rFonts w:cstheme="minorHAnsi"/>
                <w:lang w:val="fr-FR"/>
              </w:rPr>
              <w:t>Cet amendement a pour objet de corriger des erreurs matérielles.</w:t>
            </w:r>
          </w:p>
        </w:tc>
      </w:tr>
    </w:tbl>
    <w:p w14:paraId="0CB2C4CF" w14:textId="77777777" w:rsidR="001203BA" w:rsidRPr="00A94196" w:rsidRDefault="001203BA" w:rsidP="001203BA">
      <w:pPr>
        <w:rPr>
          <w:lang w:val="fr-FR"/>
        </w:rPr>
      </w:pPr>
    </w:p>
    <w:p w14:paraId="4134F79D" w14:textId="77777777" w:rsidR="00A820D7" w:rsidRPr="00A94196" w:rsidRDefault="00A820D7">
      <w:pPr>
        <w:rPr>
          <w:lang w:val="fr-FR"/>
        </w:rPr>
      </w:pPr>
    </w:p>
    <w:sectPr w:rsidR="00A820D7" w:rsidRPr="00A94196"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6014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5BD5"/>
    <w:rsid w:val="00034C6F"/>
    <w:rsid w:val="00036F85"/>
    <w:rsid w:val="000441DE"/>
    <w:rsid w:val="00071562"/>
    <w:rsid w:val="00084E4D"/>
    <w:rsid w:val="00093A2B"/>
    <w:rsid w:val="000B17B4"/>
    <w:rsid w:val="000D6EAF"/>
    <w:rsid w:val="000E14C5"/>
    <w:rsid w:val="000F28E4"/>
    <w:rsid w:val="00102D66"/>
    <w:rsid w:val="00104701"/>
    <w:rsid w:val="00111D98"/>
    <w:rsid w:val="001124BA"/>
    <w:rsid w:val="0011776E"/>
    <w:rsid w:val="001203BA"/>
    <w:rsid w:val="001274D6"/>
    <w:rsid w:val="00133831"/>
    <w:rsid w:val="00133FDD"/>
    <w:rsid w:val="001346A0"/>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0D98"/>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45A5"/>
    <w:rsid w:val="003564D8"/>
    <w:rsid w:val="00357D30"/>
    <w:rsid w:val="00367502"/>
    <w:rsid w:val="003831C0"/>
    <w:rsid w:val="00392936"/>
    <w:rsid w:val="003A1C6D"/>
    <w:rsid w:val="003A3D34"/>
    <w:rsid w:val="003A7991"/>
    <w:rsid w:val="003B06EB"/>
    <w:rsid w:val="003B15A0"/>
    <w:rsid w:val="003C38B1"/>
    <w:rsid w:val="003D1D70"/>
    <w:rsid w:val="003D744D"/>
    <w:rsid w:val="003E1F7C"/>
    <w:rsid w:val="003F24EE"/>
    <w:rsid w:val="003F6F60"/>
    <w:rsid w:val="00400236"/>
    <w:rsid w:val="00404691"/>
    <w:rsid w:val="00405ACE"/>
    <w:rsid w:val="00415C03"/>
    <w:rsid w:val="00423115"/>
    <w:rsid w:val="004334BF"/>
    <w:rsid w:val="00436918"/>
    <w:rsid w:val="00441E30"/>
    <w:rsid w:val="004443F2"/>
    <w:rsid w:val="004610CD"/>
    <w:rsid w:val="004637CE"/>
    <w:rsid w:val="0047203B"/>
    <w:rsid w:val="00492278"/>
    <w:rsid w:val="00492FE9"/>
    <w:rsid w:val="004A39E3"/>
    <w:rsid w:val="004A7563"/>
    <w:rsid w:val="004C3052"/>
    <w:rsid w:val="004C63AD"/>
    <w:rsid w:val="004F6E1D"/>
    <w:rsid w:val="00502CB1"/>
    <w:rsid w:val="005133BD"/>
    <w:rsid w:val="00513F84"/>
    <w:rsid w:val="00525185"/>
    <w:rsid w:val="00534740"/>
    <w:rsid w:val="005364B4"/>
    <w:rsid w:val="005415E2"/>
    <w:rsid w:val="005416BD"/>
    <w:rsid w:val="0054708F"/>
    <w:rsid w:val="00552D57"/>
    <w:rsid w:val="00556D0E"/>
    <w:rsid w:val="00562DB1"/>
    <w:rsid w:val="00585D82"/>
    <w:rsid w:val="005A3C17"/>
    <w:rsid w:val="005A7179"/>
    <w:rsid w:val="005B25E3"/>
    <w:rsid w:val="005B2F3D"/>
    <w:rsid w:val="005C4198"/>
    <w:rsid w:val="005C7CE3"/>
    <w:rsid w:val="005D02C8"/>
    <w:rsid w:val="005D039B"/>
    <w:rsid w:val="005D1201"/>
    <w:rsid w:val="005E4002"/>
    <w:rsid w:val="005E7872"/>
    <w:rsid w:val="006132F3"/>
    <w:rsid w:val="006202FB"/>
    <w:rsid w:val="00621861"/>
    <w:rsid w:val="00631F09"/>
    <w:rsid w:val="006348CD"/>
    <w:rsid w:val="006361D5"/>
    <w:rsid w:val="0063632B"/>
    <w:rsid w:val="0064095E"/>
    <w:rsid w:val="00645D75"/>
    <w:rsid w:val="00650083"/>
    <w:rsid w:val="00651E0F"/>
    <w:rsid w:val="00657805"/>
    <w:rsid w:val="006602A1"/>
    <w:rsid w:val="0066155A"/>
    <w:rsid w:val="0066738E"/>
    <w:rsid w:val="0068143A"/>
    <w:rsid w:val="00683EAC"/>
    <w:rsid w:val="00685CF4"/>
    <w:rsid w:val="00686C06"/>
    <w:rsid w:val="006920C9"/>
    <w:rsid w:val="006A735D"/>
    <w:rsid w:val="006B2AA7"/>
    <w:rsid w:val="006C529C"/>
    <w:rsid w:val="006C79DF"/>
    <w:rsid w:val="006D501B"/>
    <w:rsid w:val="006D6DC3"/>
    <w:rsid w:val="006F4576"/>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3538F"/>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557F"/>
    <w:rsid w:val="00916E5F"/>
    <w:rsid w:val="009172D4"/>
    <w:rsid w:val="009235D2"/>
    <w:rsid w:val="0093030C"/>
    <w:rsid w:val="00931894"/>
    <w:rsid w:val="00935E60"/>
    <w:rsid w:val="00943313"/>
    <w:rsid w:val="009460AE"/>
    <w:rsid w:val="009627E9"/>
    <w:rsid w:val="0096303B"/>
    <w:rsid w:val="0098698D"/>
    <w:rsid w:val="009965B6"/>
    <w:rsid w:val="009A4260"/>
    <w:rsid w:val="009B3BE6"/>
    <w:rsid w:val="009C0DC9"/>
    <w:rsid w:val="009D0503"/>
    <w:rsid w:val="009D0B3E"/>
    <w:rsid w:val="009F648C"/>
    <w:rsid w:val="009F7906"/>
    <w:rsid w:val="00A0074A"/>
    <w:rsid w:val="00A01EFB"/>
    <w:rsid w:val="00A14C1E"/>
    <w:rsid w:val="00A152BE"/>
    <w:rsid w:val="00A72BBC"/>
    <w:rsid w:val="00A7675D"/>
    <w:rsid w:val="00A820D7"/>
    <w:rsid w:val="00A87F77"/>
    <w:rsid w:val="00A92F93"/>
    <w:rsid w:val="00A94196"/>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333A"/>
    <w:rsid w:val="00B71729"/>
    <w:rsid w:val="00B779CF"/>
    <w:rsid w:val="00B83A68"/>
    <w:rsid w:val="00B9162B"/>
    <w:rsid w:val="00B9723E"/>
    <w:rsid w:val="00B97CC3"/>
    <w:rsid w:val="00BA0E76"/>
    <w:rsid w:val="00BA1659"/>
    <w:rsid w:val="00BA26D2"/>
    <w:rsid w:val="00BB376A"/>
    <w:rsid w:val="00BD2DC6"/>
    <w:rsid w:val="00BE2349"/>
    <w:rsid w:val="00BF1861"/>
    <w:rsid w:val="00BF2646"/>
    <w:rsid w:val="00C01CC2"/>
    <w:rsid w:val="00C01CFA"/>
    <w:rsid w:val="00C12A40"/>
    <w:rsid w:val="00C162B3"/>
    <w:rsid w:val="00C166D1"/>
    <w:rsid w:val="00C1753D"/>
    <w:rsid w:val="00C4014C"/>
    <w:rsid w:val="00C47A8C"/>
    <w:rsid w:val="00C509F8"/>
    <w:rsid w:val="00C52F6F"/>
    <w:rsid w:val="00C65CB4"/>
    <w:rsid w:val="00C72E4C"/>
    <w:rsid w:val="00C80883"/>
    <w:rsid w:val="00C80921"/>
    <w:rsid w:val="00C86467"/>
    <w:rsid w:val="00C86CC5"/>
    <w:rsid w:val="00C91A38"/>
    <w:rsid w:val="00C9498E"/>
    <w:rsid w:val="00C96728"/>
    <w:rsid w:val="00CA1557"/>
    <w:rsid w:val="00CA5454"/>
    <w:rsid w:val="00CB08CB"/>
    <w:rsid w:val="00CB210A"/>
    <w:rsid w:val="00CB6FFB"/>
    <w:rsid w:val="00CC6422"/>
    <w:rsid w:val="00CF7AC1"/>
    <w:rsid w:val="00D102E1"/>
    <w:rsid w:val="00D22227"/>
    <w:rsid w:val="00D42D9B"/>
    <w:rsid w:val="00D46773"/>
    <w:rsid w:val="00D637E1"/>
    <w:rsid w:val="00D66D82"/>
    <w:rsid w:val="00D751E3"/>
    <w:rsid w:val="00D76CDC"/>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511"/>
    <w:rsid w:val="00EB4929"/>
    <w:rsid w:val="00EC77EF"/>
    <w:rsid w:val="00ED31D7"/>
    <w:rsid w:val="00ED3B78"/>
    <w:rsid w:val="00ED6CD0"/>
    <w:rsid w:val="00EE17D3"/>
    <w:rsid w:val="00EE44AC"/>
    <w:rsid w:val="00F03C83"/>
    <w:rsid w:val="00F0640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B0251"/>
    <w:rsid w:val="00FB0C45"/>
    <w:rsid w:val="00FD0CAE"/>
    <w:rsid w:val="00FD6803"/>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2FF3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3D1D7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3D1D70"/>
    <w:rPr>
      <w:rFonts w:eastAsiaTheme="majorEastAsia" w:cstheme="majorBidi"/>
      <w:color w:val="000000" w:themeColor="text1"/>
      <w:szCs w:val="32"/>
    </w:rPr>
  </w:style>
  <w:style w:type="character" w:styleId="Hyperlink">
    <w:name w:val="Hyperlink"/>
    <w:basedOn w:val="Standaardalinea-lettertype"/>
    <w:uiPriority w:val="99"/>
    <w:unhideWhenUsed/>
    <w:rsid w:val="00B83A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991</Words>
  <Characters>5456</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2019-11-08T11:50:00Z</dcterms:created>
  <dcterms:modified xsi:type="dcterms:W3CDTF">2022-02-07T15:45:00Z</dcterms:modified>
</cp:coreProperties>
</file>