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6047"/>
        <w:gridCol w:w="5387"/>
        <w:gridCol w:w="425"/>
      </w:tblGrid>
      <w:tr w:rsidR="00F51A15" w:rsidRPr="00C70249" w14:paraId="47A2250E" w14:textId="77777777" w:rsidTr="003423D1">
        <w:tc>
          <w:tcPr>
            <w:tcW w:w="13556" w:type="dxa"/>
            <w:gridSpan w:val="3"/>
          </w:tcPr>
          <w:p w14:paraId="48DB2FEE" w14:textId="77777777" w:rsidR="00F51A15" w:rsidRPr="00F51A15" w:rsidRDefault="00F51A15" w:rsidP="007D7A6B">
            <w:pPr>
              <w:rPr>
                <w:b/>
                <w:sz w:val="32"/>
                <w:szCs w:val="32"/>
                <w:lang w:val="nl-NL"/>
              </w:rPr>
            </w:pPr>
            <w:r>
              <w:rPr>
                <w:b/>
                <w:sz w:val="32"/>
                <w:szCs w:val="32"/>
                <w:lang w:val="nl-NL"/>
              </w:rPr>
              <w:t>BOEK 18. – H</w:t>
            </w:r>
            <w:r w:rsidRPr="00F51A15">
              <w:rPr>
                <w:b/>
                <w:sz w:val="32"/>
                <w:szCs w:val="32"/>
                <w:lang w:val="nl-NL"/>
              </w:rPr>
              <w:t>et Europees Economisch Samenwerkingsverband.</w:t>
            </w:r>
          </w:p>
        </w:tc>
        <w:tc>
          <w:tcPr>
            <w:tcW w:w="425" w:type="dxa"/>
            <w:shd w:val="clear" w:color="auto" w:fill="auto"/>
          </w:tcPr>
          <w:p w14:paraId="1BCAA17E" w14:textId="77777777" w:rsidR="00F51A15" w:rsidRPr="007B17CA" w:rsidRDefault="00F51A15" w:rsidP="007B17CA">
            <w:pPr>
              <w:jc w:val="center"/>
              <w:rPr>
                <w:rFonts w:ascii="Cambria" w:eastAsia="Calibri" w:hAnsi="Cambria" w:cs="Times New Roman"/>
                <w:b/>
                <w:bCs/>
                <w:color w:val="4F81BD"/>
                <w:sz w:val="32"/>
                <w:szCs w:val="26"/>
                <w:lang w:val="nl-NL" w:eastAsia="fr-FR"/>
              </w:rPr>
            </w:pPr>
          </w:p>
        </w:tc>
      </w:tr>
      <w:tr w:rsidR="008877CF" w:rsidRPr="00C70249" w14:paraId="212C39BF" w14:textId="77777777" w:rsidTr="003423D1">
        <w:tc>
          <w:tcPr>
            <w:tcW w:w="13556" w:type="dxa"/>
            <w:gridSpan w:val="3"/>
          </w:tcPr>
          <w:p w14:paraId="32747276" w14:textId="77777777" w:rsidR="008877CF" w:rsidRDefault="008877CF" w:rsidP="007D7A6B">
            <w:pPr>
              <w:rPr>
                <w:b/>
                <w:sz w:val="32"/>
                <w:szCs w:val="32"/>
                <w:lang w:val="nl-NL"/>
              </w:rPr>
            </w:pPr>
          </w:p>
        </w:tc>
        <w:tc>
          <w:tcPr>
            <w:tcW w:w="425" w:type="dxa"/>
            <w:shd w:val="clear" w:color="auto" w:fill="auto"/>
          </w:tcPr>
          <w:p w14:paraId="3857F3AE" w14:textId="77777777" w:rsidR="008877CF" w:rsidRPr="007B17CA" w:rsidRDefault="008877CF" w:rsidP="007B17CA">
            <w:pPr>
              <w:jc w:val="center"/>
              <w:rPr>
                <w:rFonts w:ascii="Cambria" w:eastAsia="Calibri" w:hAnsi="Cambria" w:cs="Times New Roman"/>
                <w:b/>
                <w:bCs/>
                <w:color w:val="4F81BD"/>
                <w:sz w:val="32"/>
                <w:szCs w:val="26"/>
                <w:lang w:val="nl-NL" w:eastAsia="fr-FR"/>
              </w:rPr>
            </w:pPr>
          </w:p>
        </w:tc>
      </w:tr>
      <w:tr w:rsidR="00F51A15" w:rsidRPr="003423D1" w14:paraId="3B91C2B9" w14:textId="77777777" w:rsidTr="003423D1">
        <w:trPr>
          <w:trHeight w:val="1511"/>
        </w:trPr>
        <w:tc>
          <w:tcPr>
            <w:tcW w:w="2122" w:type="dxa"/>
          </w:tcPr>
          <w:p w14:paraId="38B01E91" w14:textId="77777777" w:rsidR="00F51A15" w:rsidRDefault="00F51A15" w:rsidP="00C94A0F">
            <w:pPr>
              <w:spacing w:after="0" w:line="240" w:lineRule="auto"/>
              <w:rPr>
                <w:rFonts w:cs="Calibri"/>
                <w:lang w:val="nl-BE"/>
              </w:rPr>
            </w:pPr>
            <w:r>
              <w:rPr>
                <w:rFonts w:cs="Calibri"/>
                <w:lang w:val="nl-BE"/>
              </w:rPr>
              <w:t>RvSt 2</w:t>
            </w:r>
          </w:p>
        </w:tc>
        <w:tc>
          <w:tcPr>
            <w:tcW w:w="6047" w:type="dxa"/>
            <w:shd w:val="clear" w:color="auto" w:fill="auto"/>
          </w:tcPr>
          <w:p w14:paraId="579173C5" w14:textId="77777777" w:rsidR="00F51A15" w:rsidRPr="00F51A15" w:rsidRDefault="00F51A15" w:rsidP="00F51A15">
            <w:pPr>
              <w:spacing w:after="0" w:line="240" w:lineRule="auto"/>
              <w:jc w:val="both"/>
              <w:rPr>
                <w:rFonts w:cs="Calibri"/>
                <w:lang w:val="nl-BE"/>
              </w:rPr>
            </w:pPr>
            <w:r w:rsidRPr="00F51A15">
              <w:rPr>
                <w:rFonts w:cs="Calibri"/>
                <w:lang w:val="nl-BE"/>
              </w:rPr>
              <w:t>1. Artikel 39, lid 1, van verordening (EEG) nr. 2137/85 van de Raad van 25 juli 1985 “tot instelling van Europese economische samenwerkingsverbanden (EESV)” schrijft voor dat het nationale recht de formaliteiten regelt inzake de neerlegging en de openbaarmaking van de akten van de EESV.</w:t>
            </w:r>
          </w:p>
          <w:p w14:paraId="02133745" w14:textId="77777777" w:rsidR="00F51A15" w:rsidRPr="00F51A15" w:rsidRDefault="00F51A15" w:rsidP="00F51A15">
            <w:pPr>
              <w:spacing w:after="0" w:line="240" w:lineRule="auto"/>
              <w:jc w:val="both"/>
              <w:rPr>
                <w:rFonts w:cs="Calibri"/>
                <w:lang w:val="nl-BE"/>
              </w:rPr>
            </w:pPr>
          </w:p>
          <w:p w14:paraId="363BF85B" w14:textId="77777777" w:rsidR="00F51A15" w:rsidRPr="00F51A15" w:rsidRDefault="00F51A15" w:rsidP="00F51A15">
            <w:pPr>
              <w:spacing w:after="0" w:line="240" w:lineRule="auto"/>
              <w:jc w:val="both"/>
              <w:rPr>
                <w:rFonts w:cs="Calibri"/>
                <w:lang w:val="nl-BE"/>
              </w:rPr>
            </w:pPr>
            <w:r w:rsidRPr="00F51A15">
              <w:rPr>
                <w:rFonts w:cs="Calibri"/>
                <w:lang w:val="nl-BE"/>
              </w:rPr>
              <w:t>Daaruit valt op te maken dat het EESV vanuit het oogpunt van de stellers van het amendement binnen de toepassingssfeer valt van het ontworpen artikel 2:8, dat aan het neerleggen van de akten van vennootschappen gewijd is (zie inzonderheid paragraaf 1, 4° en 10°, van dat artikel).</w:t>
            </w:r>
          </w:p>
          <w:p w14:paraId="35B38DEF" w14:textId="77777777" w:rsidR="00F51A15" w:rsidRPr="00F51A15" w:rsidRDefault="00F51A15" w:rsidP="00F51A15">
            <w:pPr>
              <w:spacing w:after="0" w:line="240" w:lineRule="auto"/>
              <w:jc w:val="both"/>
              <w:rPr>
                <w:rFonts w:cs="Calibri"/>
                <w:lang w:val="nl-BE"/>
              </w:rPr>
            </w:pPr>
          </w:p>
          <w:p w14:paraId="4458D042" w14:textId="77777777" w:rsidR="00F51A15" w:rsidRPr="00F51A15" w:rsidRDefault="00F51A15" w:rsidP="00F51A15">
            <w:pPr>
              <w:spacing w:after="0" w:line="240" w:lineRule="auto"/>
              <w:jc w:val="both"/>
              <w:rPr>
                <w:rFonts w:cs="Calibri"/>
                <w:lang w:val="nl-BE"/>
              </w:rPr>
            </w:pPr>
            <w:r w:rsidRPr="00F51A15">
              <w:rPr>
                <w:rFonts w:cs="Calibri"/>
                <w:lang w:val="nl-BE"/>
              </w:rPr>
              <w:t>Er kan echter verwarring bestaan over de vraag of het EESV daadwerkelijk een vennootschap is, in het bijzonder gelet op overweging 5 van verordening nr. 2137/85 (waarin staat dat “het verschil tussen een samenwerkingsverband en</w:t>
            </w:r>
            <w:r w:rsidR="008877CF">
              <w:rPr>
                <w:rFonts w:cs="Calibri"/>
                <w:lang w:val="nl-BE"/>
              </w:rPr>
              <w:t xml:space="preserve"> </w:t>
            </w:r>
            <w:r w:rsidRPr="00F51A15">
              <w:rPr>
                <w:rFonts w:cs="Calibri"/>
                <w:lang w:val="nl-BE"/>
              </w:rPr>
              <w:t>een vennootschap (…) is gelegen in”), maar ook gelet op het ontworpen artikel 1:5 waarin paragraaf 2 gewijd is aan de vennootschappen (waaronder de Europese vennootschap en de Europese coöperatieve vennootschap) en paragraaf 3 gewijd is aan het EESV dat in de Franse tekst als een “entité” (entiteit) bestempeld wordt, maar in de Nederlandse tekst noch als een vennootschap, noch als een entiteit bestempeld wordt.</w:t>
            </w:r>
          </w:p>
          <w:p w14:paraId="1E3A43ED" w14:textId="77777777" w:rsidR="00F51A15" w:rsidRPr="00F51A15" w:rsidRDefault="00F51A15" w:rsidP="00F51A15">
            <w:pPr>
              <w:spacing w:after="0" w:line="240" w:lineRule="auto"/>
              <w:jc w:val="both"/>
              <w:rPr>
                <w:rFonts w:cs="Calibri"/>
                <w:lang w:val="nl-BE"/>
              </w:rPr>
            </w:pPr>
          </w:p>
          <w:p w14:paraId="3C4CADAB" w14:textId="77777777" w:rsidR="00F51A15" w:rsidRPr="00F51A15" w:rsidRDefault="00F51A15" w:rsidP="00F51A15">
            <w:pPr>
              <w:spacing w:after="0" w:line="240" w:lineRule="auto"/>
              <w:jc w:val="both"/>
              <w:rPr>
                <w:rFonts w:cs="Calibri"/>
                <w:lang w:val="nl-BE"/>
              </w:rPr>
            </w:pPr>
            <w:r w:rsidRPr="00F51A15">
              <w:rPr>
                <w:rFonts w:cs="Calibri"/>
                <w:lang w:val="nl-BE"/>
              </w:rPr>
              <w:t xml:space="preserve">Indien de wetgever het EESV als een vennootschap aanmerkt, zou hij het om elke twijfel weg te nemen, moeten opnemen in de lijst vervat in het ontworpen artikel 1:5, § 2. Dat is trouwens het in artikel 2, § 2, van het Wetboek van Vennootschappen ingenomen standpunt met betrekking tot het (Belgisch) economisch </w:t>
            </w:r>
            <w:r w:rsidRPr="00F51A15">
              <w:rPr>
                <w:rFonts w:cs="Calibri"/>
                <w:lang w:val="nl-BE"/>
              </w:rPr>
              <w:lastRenderedPageBreak/>
              <w:t>samenwerkingsverband. Paragraaf 3 zou op zijn minst verduidelijkt moeten worden en de Franse en de Nederlandse tekst zouden met elkaar in overeenstemming gebracht moeten worden.</w:t>
            </w:r>
          </w:p>
          <w:p w14:paraId="64AF5967" w14:textId="77777777" w:rsidR="00F51A15" w:rsidRPr="00F51A15" w:rsidRDefault="00F51A15" w:rsidP="00F51A15">
            <w:pPr>
              <w:spacing w:after="0" w:line="240" w:lineRule="auto"/>
              <w:jc w:val="both"/>
              <w:rPr>
                <w:rFonts w:cs="Calibri"/>
                <w:lang w:val="nl-BE"/>
              </w:rPr>
            </w:pPr>
          </w:p>
          <w:p w14:paraId="3605ADEB" w14:textId="77777777" w:rsidR="00F51A15" w:rsidRPr="00F51A15" w:rsidRDefault="00F51A15" w:rsidP="00F51A15">
            <w:pPr>
              <w:spacing w:after="0" w:line="240" w:lineRule="auto"/>
              <w:jc w:val="both"/>
              <w:rPr>
                <w:rFonts w:cs="Calibri"/>
                <w:lang w:val="nl-BE"/>
              </w:rPr>
            </w:pPr>
            <w:r w:rsidRPr="00F51A15">
              <w:rPr>
                <w:rFonts w:cs="Calibri"/>
                <w:lang w:val="nl-BE"/>
              </w:rPr>
              <w:t>2. Artikel 39 van verordening nr. 2137/85 bepaalt dat “[d]e Lid-Staten (…) passende sancties [vaststellen] in geval van niet-naleving van de artikelen (…) inzake openbaarmaking [van de akten van de EESV]”. Die sancties worden thans vermeld in artikel 15 van de wet van 12 juli 1989 “houdende verscheidene maatregelen tot toepassing van de Verordening (EEG) nr. 2137/85 van de Raad van 25 juli 1985 tot instelling van Europese economische samenwerkingsverbanden”, maar zijn niet in het ontwerp opgenomen.</w:t>
            </w:r>
          </w:p>
          <w:p w14:paraId="12EDE09F" w14:textId="77777777" w:rsidR="00F51A15" w:rsidRPr="00F51A15" w:rsidRDefault="00F51A15" w:rsidP="00F51A15">
            <w:pPr>
              <w:spacing w:after="0" w:line="240" w:lineRule="auto"/>
              <w:jc w:val="both"/>
              <w:rPr>
                <w:rFonts w:cs="Calibri"/>
                <w:lang w:val="nl-BE"/>
              </w:rPr>
            </w:pPr>
          </w:p>
          <w:p w14:paraId="4ACEFBD8" w14:textId="77777777" w:rsidR="00F51A15" w:rsidRPr="00F51A15" w:rsidRDefault="00F51A15" w:rsidP="00F51A15">
            <w:pPr>
              <w:spacing w:after="0" w:line="240" w:lineRule="auto"/>
              <w:jc w:val="both"/>
              <w:rPr>
                <w:rFonts w:cs="Calibri"/>
                <w:lang w:val="nl-BE"/>
              </w:rPr>
            </w:pPr>
            <w:r w:rsidRPr="00F51A15">
              <w:rPr>
                <w:rFonts w:cs="Calibri"/>
                <w:lang w:val="nl-BE"/>
              </w:rPr>
              <w:t>Ook al hoeven niet noodzakelijk dezelfde sancties overgenomen te worden, is het krachtens het recht van de Europese Unie niettemin verplicht om in een passende sanctie te voorzien.</w:t>
            </w:r>
          </w:p>
          <w:p w14:paraId="01A05D46" w14:textId="77777777" w:rsidR="00F51A15" w:rsidRPr="00F51A15" w:rsidRDefault="00F51A15" w:rsidP="00F51A15">
            <w:pPr>
              <w:spacing w:after="0" w:line="240" w:lineRule="auto"/>
              <w:jc w:val="both"/>
              <w:rPr>
                <w:rFonts w:cs="Calibri"/>
                <w:lang w:val="nl-BE"/>
              </w:rPr>
            </w:pPr>
          </w:p>
          <w:p w14:paraId="0026E4B4" w14:textId="77777777" w:rsidR="00F51A15" w:rsidRPr="00F51A15" w:rsidRDefault="00F51A15" w:rsidP="00F51A15">
            <w:pPr>
              <w:spacing w:after="0" w:line="240" w:lineRule="auto"/>
              <w:jc w:val="both"/>
              <w:rPr>
                <w:rFonts w:cs="Calibri"/>
                <w:lang w:val="nl-BE"/>
              </w:rPr>
            </w:pPr>
            <w:r w:rsidRPr="00F51A15">
              <w:rPr>
                <w:rFonts w:cs="Calibri"/>
                <w:lang w:val="nl-BE"/>
              </w:rPr>
              <w:t>Dat is des te meer noodzakelijk indien de wet van</w:t>
            </w:r>
          </w:p>
          <w:p w14:paraId="6F208F8D" w14:textId="77777777" w:rsidR="00F51A15" w:rsidRPr="00B63144" w:rsidRDefault="00F51A15" w:rsidP="00F51A15">
            <w:pPr>
              <w:spacing w:after="0" w:line="240" w:lineRule="auto"/>
              <w:jc w:val="both"/>
              <w:rPr>
                <w:rFonts w:cs="Calibri"/>
                <w:lang w:val="nl-BE"/>
              </w:rPr>
            </w:pPr>
            <w:r w:rsidRPr="00F51A15">
              <w:rPr>
                <w:rFonts w:cs="Calibri"/>
                <w:lang w:val="nl-BE"/>
              </w:rPr>
              <w:t>12 juli 1989 opgeheven wordt, zoals hierna bij amendement nr. 2 in overweging gegeven wordt.</w:t>
            </w:r>
          </w:p>
        </w:tc>
        <w:tc>
          <w:tcPr>
            <w:tcW w:w="5812" w:type="dxa"/>
            <w:gridSpan w:val="2"/>
            <w:shd w:val="clear" w:color="auto" w:fill="auto"/>
          </w:tcPr>
          <w:p w14:paraId="4F300879" w14:textId="77777777" w:rsidR="00F51A15" w:rsidRDefault="00F51A15" w:rsidP="00F51A15">
            <w:pPr>
              <w:spacing w:after="0" w:line="240" w:lineRule="auto"/>
              <w:jc w:val="both"/>
              <w:rPr>
                <w:rFonts w:cs="Calibri"/>
                <w:lang w:val="fr-FR"/>
              </w:rPr>
            </w:pPr>
            <w:r w:rsidRPr="00F51A15">
              <w:rPr>
                <w:rFonts w:cs="Calibri"/>
                <w:lang w:val="fr-FR"/>
              </w:rPr>
              <w:lastRenderedPageBreak/>
              <w:t>1. L’article 39, paragraphe 1, du règlement (CEE) n° 2137/85 du Conseil du 25 juillet 1985 ‘relatif à l’institution d’un groupement européen d’intérêt économique (GEIE)’ impose que le droit national règle les formalités de dépôt et de publicité des actes des GEIE.</w:t>
            </w:r>
          </w:p>
          <w:p w14:paraId="00C1DBDC" w14:textId="77777777" w:rsidR="00F51A15" w:rsidRPr="00F51A15" w:rsidRDefault="00F51A15" w:rsidP="00F51A15">
            <w:pPr>
              <w:spacing w:after="0" w:line="240" w:lineRule="auto"/>
              <w:jc w:val="both"/>
              <w:rPr>
                <w:rFonts w:cs="Calibri"/>
                <w:lang w:val="fr-FR"/>
              </w:rPr>
            </w:pPr>
          </w:p>
          <w:p w14:paraId="281C287E" w14:textId="77777777" w:rsidR="00F51A15" w:rsidRDefault="00F51A15" w:rsidP="00F51A15">
            <w:pPr>
              <w:spacing w:after="0" w:line="240" w:lineRule="auto"/>
              <w:jc w:val="both"/>
              <w:rPr>
                <w:rFonts w:cs="Calibri"/>
                <w:lang w:val="fr-FR"/>
              </w:rPr>
            </w:pPr>
            <w:r w:rsidRPr="00F51A15">
              <w:rPr>
                <w:rFonts w:cs="Calibri"/>
                <w:lang w:val="fr-FR"/>
              </w:rPr>
              <w:t xml:space="preserve">On comprend que, dans l’esprit des auteurs de l’amendement, le GEIE entre dans le champ d’application de l’article </w:t>
            </w:r>
            <w:proofErr w:type="gramStart"/>
            <w:r w:rsidRPr="00F51A15">
              <w:rPr>
                <w:rFonts w:cs="Calibri"/>
                <w:lang w:val="fr-FR"/>
              </w:rPr>
              <w:t>2:</w:t>
            </w:r>
            <w:proofErr w:type="gramEnd"/>
            <w:r w:rsidRPr="00F51A15">
              <w:rPr>
                <w:rFonts w:cs="Calibri"/>
                <w:lang w:val="fr-FR"/>
              </w:rPr>
              <w:t>8 en projet, consacré aux dépôts des actes de sociétés (voir notamment le paragraphe 1er, 4° et 10°, de cet article).</w:t>
            </w:r>
          </w:p>
          <w:p w14:paraId="5B4A2BA3" w14:textId="77777777" w:rsidR="00F51A15" w:rsidRPr="00F51A15" w:rsidRDefault="00F51A15" w:rsidP="00F51A15">
            <w:pPr>
              <w:spacing w:after="0" w:line="240" w:lineRule="auto"/>
              <w:jc w:val="both"/>
              <w:rPr>
                <w:rFonts w:cs="Calibri"/>
                <w:lang w:val="fr-FR"/>
              </w:rPr>
            </w:pPr>
          </w:p>
          <w:p w14:paraId="4778E498" w14:textId="77777777" w:rsidR="00F51A15" w:rsidRDefault="00F51A15" w:rsidP="00F51A15">
            <w:pPr>
              <w:spacing w:after="0" w:line="240" w:lineRule="auto"/>
              <w:jc w:val="both"/>
              <w:rPr>
                <w:rFonts w:cs="Calibri"/>
                <w:lang w:val="fr-FR"/>
              </w:rPr>
            </w:pPr>
            <w:r w:rsidRPr="00F51A15">
              <w:rPr>
                <w:rFonts w:cs="Calibri"/>
                <w:lang w:val="fr-FR"/>
              </w:rPr>
              <w:t>Or, il peut y avoir une ambiguïté sur la question de savoir si le GEIE est réellement une société, eu égard notamment au considérant 5 du règlement n° 2137/85 (indiquant que « le groupement se distingue d’une société »), mais aussi de l’article 1:5 en projet, qui consacre un paragraphe 2 aux sociétés (y compris la société européenne et la société coopérative européenne) et un paragraphe 3 au GEIE qualifié, dans le texte de français, d’« entité » et ne recevant aucune qualification (ni de société ni d’entité) dans le texte néerlandais.</w:t>
            </w:r>
          </w:p>
          <w:p w14:paraId="03E66B3F" w14:textId="77777777" w:rsidR="00F51A15" w:rsidRPr="00F51A15" w:rsidRDefault="00F51A15" w:rsidP="00F51A15">
            <w:pPr>
              <w:spacing w:after="0" w:line="240" w:lineRule="auto"/>
              <w:jc w:val="both"/>
              <w:rPr>
                <w:rFonts w:cs="Calibri"/>
                <w:lang w:val="fr-FR"/>
              </w:rPr>
            </w:pPr>
          </w:p>
          <w:p w14:paraId="39AD0310" w14:textId="77777777" w:rsidR="00F51A15" w:rsidRDefault="00F51A15" w:rsidP="00F51A15">
            <w:pPr>
              <w:spacing w:after="0" w:line="240" w:lineRule="auto"/>
              <w:jc w:val="both"/>
              <w:rPr>
                <w:rFonts w:cs="Calibri"/>
                <w:lang w:val="fr-FR"/>
              </w:rPr>
            </w:pPr>
            <w:r w:rsidRPr="00F51A15">
              <w:rPr>
                <w:rFonts w:cs="Calibri"/>
                <w:lang w:val="fr-FR"/>
              </w:rPr>
              <w:t xml:space="preserve">Si le législateur considère le GEIE comme une société, il conviendrait, pour éviter tout doute, qu’il l’inclue dans la liste de l’article </w:t>
            </w:r>
            <w:proofErr w:type="gramStart"/>
            <w:r w:rsidRPr="00F51A15">
              <w:rPr>
                <w:rFonts w:cs="Calibri"/>
                <w:lang w:val="fr-FR"/>
              </w:rPr>
              <w:t>1:</w:t>
            </w:r>
            <w:proofErr w:type="gramEnd"/>
            <w:r w:rsidRPr="00F51A15">
              <w:rPr>
                <w:rFonts w:cs="Calibri"/>
                <w:lang w:val="fr-FR"/>
              </w:rPr>
              <w:t>5, § 2, en projet. Telle était d’ailleurs la position adoptée à l’article 2, § 2, du Code des sociétés à propos du groupement (belge) d’intérêt économique. À tout le moins, le paragraphe 3 devrait être clarifié et les textes français et néerlandais mis en concordance.</w:t>
            </w:r>
          </w:p>
          <w:p w14:paraId="3D5B58FA" w14:textId="77777777" w:rsidR="00F51A15" w:rsidRPr="00F51A15" w:rsidRDefault="00F51A15" w:rsidP="00F51A15">
            <w:pPr>
              <w:spacing w:after="0" w:line="240" w:lineRule="auto"/>
              <w:jc w:val="both"/>
              <w:rPr>
                <w:rFonts w:cs="Calibri"/>
                <w:lang w:val="fr-FR"/>
              </w:rPr>
            </w:pPr>
          </w:p>
          <w:p w14:paraId="74713254" w14:textId="77777777" w:rsidR="00F51A15" w:rsidRDefault="00F51A15" w:rsidP="00F51A15">
            <w:pPr>
              <w:spacing w:after="0" w:line="240" w:lineRule="auto"/>
              <w:jc w:val="both"/>
              <w:rPr>
                <w:rFonts w:cs="Calibri"/>
                <w:lang w:val="fr-FR"/>
              </w:rPr>
            </w:pPr>
            <w:r w:rsidRPr="00F51A15">
              <w:rPr>
                <w:rFonts w:cs="Calibri"/>
                <w:lang w:val="fr-FR"/>
              </w:rPr>
              <w:t>2. L’article 39 du règlement n° 2137/85 prévoit que « [l]es États membres prévoient les sanctions appropriées en cas de manquement aux dispositions [concernant la publicité des actes des GEIE] ». Ces sanctions figurent aujourd’hui à l’article 15 de la loi du 2 juillet 1989 ‘portant diverses mesures d’application du règlement (CEE) n° 2137/85 du Conseil du 25 juillet 1985 relatif à l’institution d’un groupement européen d’intérêt économique’ mais ne sont pas reproduites dans le projet.</w:t>
            </w:r>
          </w:p>
          <w:p w14:paraId="35A4B39B" w14:textId="77777777" w:rsidR="00F51A15" w:rsidRPr="00F51A15" w:rsidRDefault="00F51A15" w:rsidP="00F51A15">
            <w:pPr>
              <w:spacing w:after="0" w:line="240" w:lineRule="auto"/>
              <w:jc w:val="both"/>
              <w:rPr>
                <w:rFonts w:cs="Calibri"/>
                <w:lang w:val="fr-FR"/>
              </w:rPr>
            </w:pPr>
          </w:p>
          <w:p w14:paraId="0A8B1B27" w14:textId="77777777" w:rsidR="00F51A15" w:rsidRPr="00F51A15" w:rsidRDefault="00F51A15" w:rsidP="00F51A15">
            <w:pPr>
              <w:spacing w:after="0" w:line="240" w:lineRule="auto"/>
              <w:jc w:val="both"/>
              <w:rPr>
                <w:rFonts w:cs="Calibri"/>
                <w:lang w:val="fr-FR"/>
              </w:rPr>
            </w:pPr>
            <w:r w:rsidRPr="00F51A15">
              <w:rPr>
                <w:rFonts w:cs="Calibri"/>
                <w:lang w:val="fr-FR"/>
              </w:rPr>
              <w:t>Même si une reproduction à l’identique ne s’impose pas, il demeure obligatoire, en vertu du droit de l’Union européenne, de prévoir une sanction appropriée.</w:t>
            </w:r>
          </w:p>
          <w:p w14:paraId="159D527B" w14:textId="77777777" w:rsidR="00F51A15" w:rsidRDefault="00F51A15" w:rsidP="00F51A15">
            <w:pPr>
              <w:spacing w:after="0" w:line="240" w:lineRule="auto"/>
              <w:jc w:val="both"/>
              <w:rPr>
                <w:rFonts w:cs="Calibri"/>
                <w:lang w:val="fr-FR"/>
              </w:rPr>
            </w:pPr>
          </w:p>
          <w:p w14:paraId="4F71EBB6" w14:textId="77777777" w:rsidR="00F51A15" w:rsidRPr="00F51A15" w:rsidRDefault="00F51A15" w:rsidP="00F51A15">
            <w:pPr>
              <w:spacing w:after="0" w:line="240" w:lineRule="auto"/>
              <w:jc w:val="both"/>
              <w:rPr>
                <w:rFonts w:cs="Calibri"/>
                <w:lang w:val="fr-FR"/>
              </w:rPr>
            </w:pPr>
            <w:r w:rsidRPr="00F51A15">
              <w:rPr>
                <w:rFonts w:cs="Calibri"/>
                <w:lang w:val="fr-FR"/>
              </w:rPr>
              <w:t>Ceci s’impose d’autant plus si, comme il est suggéré ci-dessous à propos de l’amendement n° 2, la loi du 2 juillet 1989 est abrogée.</w:t>
            </w:r>
          </w:p>
          <w:p w14:paraId="606C7357" w14:textId="77777777" w:rsidR="00F51A15" w:rsidRPr="00F51A15" w:rsidRDefault="00F51A15" w:rsidP="00F51A15">
            <w:pPr>
              <w:spacing w:after="0" w:line="240" w:lineRule="auto"/>
              <w:jc w:val="both"/>
              <w:rPr>
                <w:rFonts w:cs="Calibri"/>
                <w:lang w:val="fr-FR"/>
              </w:rPr>
            </w:pPr>
          </w:p>
        </w:tc>
      </w:tr>
      <w:tr w:rsidR="00F51A15" w:rsidRPr="003423D1" w14:paraId="27A95BF1" w14:textId="77777777" w:rsidTr="003423D1">
        <w:trPr>
          <w:trHeight w:val="1511"/>
        </w:trPr>
        <w:tc>
          <w:tcPr>
            <w:tcW w:w="2122" w:type="dxa"/>
          </w:tcPr>
          <w:p w14:paraId="61E7FF2F" w14:textId="77777777" w:rsidR="00F51A15" w:rsidRPr="00F51A15" w:rsidRDefault="00F51A15" w:rsidP="00F51A15">
            <w:pPr>
              <w:spacing w:after="0" w:line="240" w:lineRule="auto"/>
              <w:jc w:val="both"/>
              <w:rPr>
                <w:rFonts w:cstheme="minorHAnsi"/>
                <w:lang w:val="nl-BE"/>
              </w:rPr>
            </w:pPr>
            <w:r w:rsidRPr="00F51A15">
              <w:rPr>
                <w:rFonts w:cstheme="minorHAnsi"/>
                <w:lang w:val="nl-BE"/>
              </w:rPr>
              <w:lastRenderedPageBreak/>
              <w:t>MvT</w:t>
            </w:r>
          </w:p>
        </w:tc>
        <w:tc>
          <w:tcPr>
            <w:tcW w:w="6047" w:type="dxa"/>
            <w:shd w:val="clear" w:color="auto" w:fill="auto"/>
          </w:tcPr>
          <w:p w14:paraId="1C358EF6" w14:textId="77777777" w:rsidR="00F51A15" w:rsidRPr="00F51A15" w:rsidRDefault="00F51A15" w:rsidP="00F51A15">
            <w:pPr>
              <w:pStyle w:val="Afdeling"/>
              <w:jc w:val="both"/>
              <w:rPr>
                <w:rFonts w:asciiTheme="minorHAnsi" w:hAnsiTheme="minorHAnsi" w:cstheme="minorHAnsi"/>
                <w:b w:val="0"/>
                <w:i w:val="0"/>
                <w:noProof/>
                <w:sz w:val="22"/>
                <w:szCs w:val="22"/>
              </w:rPr>
            </w:pPr>
            <w:r w:rsidRPr="00F51A15">
              <w:rPr>
                <w:rFonts w:asciiTheme="minorHAnsi" w:hAnsiTheme="minorHAnsi" w:cstheme="minorHAnsi"/>
                <w:b w:val="0"/>
                <w:i w:val="0"/>
                <w:noProof/>
                <w:sz w:val="22"/>
                <w:szCs w:val="22"/>
              </w:rPr>
              <w:t>Inleiding:</w:t>
            </w:r>
          </w:p>
          <w:p w14:paraId="4DBA2186" w14:textId="77777777" w:rsidR="00F51A15" w:rsidRPr="00F51A15" w:rsidRDefault="00F51A15" w:rsidP="00F51A15">
            <w:pPr>
              <w:pStyle w:val="Afdeling"/>
              <w:jc w:val="both"/>
              <w:rPr>
                <w:rFonts w:asciiTheme="minorHAnsi" w:hAnsiTheme="minorHAnsi" w:cstheme="minorHAnsi"/>
                <w:b w:val="0"/>
                <w:i w:val="0"/>
                <w:noProof/>
                <w:sz w:val="22"/>
                <w:szCs w:val="22"/>
              </w:rPr>
            </w:pPr>
          </w:p>
          <w:p w14:paraId="78A4E752" w14:textId="77777777" w:rsidR="00F51A15" w:rsidRPr="00F51A15" w:rsidRDefault="00F51A15" w:rsidP="00F51A15">
            <w:pPr>
              <w:pStyle w:val="Afdeling"/>
              <w:jc w:val="both"/>
              <w:rPr>
                <w:rFonts w:asciiTheme="minorHAnsi" w:hAnsiTheme="minorHAnsi" w:cstheme="minorHAnsi"/>
                <w:b w:val="0"/>
                <w:i w:val="0"/>
                <w:noProof/>
                <w:sz w:val="22"/>
                <w:szCs w:val="22"/>
              </w:rPr>
            </w:pPr>
            <w:r w:rsidRPr="00F51A15">
              <w:rPr>
                <w:rFonts w:asciiTheme="minorHAnsi" w:hAnsiTheme="minorHAnsi" w:cstheme="minorHAnsi"/>
                <w:b w:val="0"/>
                <w:i w:val="0"/>
                <w:noProof/>
                <w:sz w:val="22"/>
                <w:szCs w:val="22"/>
              </w:rPr>
              <w:t>Het Europees economisch samenwerkingsverband werd tot 1999 geregeld door de volgende drie wetteksten:</w:t>
            </w:r>
          </w:p>
          <w:p w14:paraId="694B263A" w14:textId="77777777" w:rsidR="00F51A15" w:rsidRPr="00F51A15" w:rsidRDefault="00F51A15" w:rsidP="00F51A15">
            <w:pPr>
              <w:pStyle w:val="Afdeling"/>
              <w:jc w:val="both"/>
              <w:rPr>
                <w:rFonts w:asciiTheme="minorHAnsi" w:hAnsiTheme="minorHAnsi" w:cstheme="minorHAnsi"/>
                <w:b w:val="0"/>
                <w:i w:val="0"/>
                <w:noProof/>
                <w:sz w:val="22"/>
                <w:szCs w:val="22"/>
              </w:rPr>
            </w:pPr>
          </w:p>
          <w:p w14:paraId="03067F94" w14:textId="77777777" w:rsidR="00F51A15" w:rsidRPr="00F51A15" w:rsidRDefault="00F51A15" w:rsidP="00F51A15">
            <w:pPr>
              <w:pStyle w:val="Afdeling"/>
              <w:numPr>
                <w:ilvl w:val="0"/>
                <w:numId w:val="1"/>
              </w:numPr>
              <w:jc w:val="both"/>
              <w:rPr>
                <w:rFonts w:asciiTheme="minorHAnsi" w:hAnsiTheme="minorHAnsi" w:cstheme="minorHAnsi"/>
                <w:b w:val="0"/>
                <w:i w:val="0"/>
                <w:noProof/>
                <w:sz w:val="22"/>
                <w:szCs w:val="22"/>
              </w:rPr>
            </w:pPr>
            <w:r w:rsidRPr="00F51A15">
              <w:rPr>
                <w:rFonts w:asciiTheme="minorHAnsi" w:hAnsiTheme="minorHAnsi" w:cstheme="minorHAnsi"/>
                <w:b w:val="0"/>
                <w:i w:val="0"/>
                <w:noProof/>
                <w:sz w:val="22"/>
                <w:szCs w:val="22"/>
              </w:rPr>
              <w:t>De EEG-verordening nr. 2137/85 van 25 juli 1985 tot instelling van de Europese economische samenwerkingsverbanden (hierna “de verordening”) die verbindend is in al haar onderdelen en een aantal basisregels vastlegde met betrekking tot het EESV.</w:t>
            </w:r>
          </w:p>
          <w:p w14:paraId="2B58F196" w14:textId="77777777" w:rsidR="00F51A15" w:rsidRPr="00F51A15" w:rsidRDefault="00F51A15" w:rsidP="00F51A15">
            <w:pPr>
              <w:pStyle w:val="Afdeling"/>
              <w:numPr>
                <w:ilvl w:val="0"/>
                <w:numId w:val="1"/>
              </w:numPr>
              <w:jc w:val="both"/>
              <w:rPr>
                <w:rFonts w:asciiTheme="minorHAnsi" w:hAnsiTheme="minorHAnsi" w:cstheme="minorHAnsi"/>
                <w:b w:val="0"/>
                <w:i w:val="0"/>
                <w:noProof/>
                <w:sz w:val="22"/>
                <w:szCs w:val="22"/>
              </w:rPr>
            </w:pPr>
            <w:r w:rsidRPr="00F51A15">
              <w:rPr>
                <w:rFonts w:asciiTheme="minorHAnsi" w:hAnsiTheme="minorHAnsi" w:cstheme="minorHAnsi"/>
                <w:b w:val="0"/>
                <w:i w:val="0"/>
                <w:noProof/>
                <w:sz w:val="22"/>
                <w:szCs w:val="22"/>
              </w:rPr>
              <w:t xml:space="preserve">De wet van 12 juli 1989 houdende verscheidene maatregelen tot de toepassing van de verordening die de </w:t>
            </w:r>
            <w:r w:rsidRPr="00F51A15">
              <w:rPr>
                <w:rFonts w:asciiTheme="minorHAnsi" w:hAnsiTheme="minorHAnsi" w:cstheme="minorHAnsi"/>
                <w:b w:val="0"/>
                <w:i w:val="0"/>
                <w:noProof/>
                <w:sz w:val="22"/>
                <w:szCs w:val="22"/>
              </w:rPr>
              <w:lastRenderedPageBreak/>
              <w:t>verordening omzet naar Belgisch recht ( hierna “EESV-wet”)</w:t>
            </w:r>
          </w:p>
          <w:p w14:paraId="0E38D067" w14:textId="77777777" w:rsidR="00F51A15" w:rsidRPr="00F51A15" w:rsidRDefault="00F51A15" w:rsidP="00F51A15">
            <w:pPr>
              <w:pStyle w:val="Afdeling"/>
              <w:numPr>
                <w:ilvl w:val="0"/>
                <w:numId w:val="1"/>
              </w:numPr>
              <w:jc w:val="both"/>
              <w:rPr>
                <w:rFonts w:asciiTheme="minorHAnsi" w:hAnsiTheme="minorHAnsi" w:cstheme="minorHAnsi"/>
                <w:b w:val="0"/>
                <w:i w:val="0"/>
                <w:noProof/>
                <w:sz w:val="22"/>
                <w:szCs w:val="22"/>
              </w:rPr>
            </w:pPr>
            <w:r w:rsidRPr="00F51A15">
              <w:rPr>
                <w:rFonts w:asciiTheme="minorHAnsi" w:hAnsiTheme="minorHAnsi" w:cstheme="minorHAnsi"/>
                <w:b w:val="0"/>
                <w:i w:val="0"/>
                <w:noProof/>
                <w:sz w:val="22"/>
                <w:szCs w:val="22"/>
              </w:rPr>
              <w:t>Het Wetboek van vennootschappen waarin de oude wet van 17 juli 1989 betreffende het economische samenwerkingsverband (hierna “ESV-wet”) werd opgenomen in de artikelen 839 tot 873 van het Wetboek van vennootschappen (zie artikel 2 EESV-wet) en waarin bepalingen omtrent de oprichtingsakte en het inwendig bestel van het EESV werden opgenomen</w:t>
            </w:r>
          </w:p>
          <w:p w14:paraId="349FBFC8" w14:textId="77777777" w:rsidR="00F51A15" w:rsidRPr="00F51A15" w:rsidRDefault="00F51A15" w:rsidP="00F51A15">
            <w:pPr>
              <w:pStyle w:val="Afdeling"/>
              <w:jc w:val="both"/>
              <w:rPr>
                <w:rFonts w:asciiTheme="minorHAnsi" w:hAnsiTheme="minorHAnsi" w:cstheme="minorHAnsi"/>
                <w:b w:val="0"/>
                <w:i w:val="0"/>
                <w:noProof/>
                <w:sz w:val="22"/>
                <w:szCs w:val="22"/>
              </w:rPr>
            </w:pPr>
          </w:p>
          <w:p w14:paraId="6F8D369E" w14:textId="77777777" w:rsidR="00F51A15" w:rsidRPr="008877CF" w:rsidRDefault="00F51A15" w:rsidP="00F51A15">
            <w:pPr>
              <w:pStyle w:val="Afdeling"/>
              <w:jc w:val="both"/>
              <w:rPr>
                <w:rFonts w:asciiTheme="minorHAnsi" w:hAnsiTheme="minorHAnsi" w:cstheme="minorHAnsi"/>
                <w:b w:val="0"/>
                <w:i w:val="0"/>
                <w:noProof/>
                <w:sz w:val="22"/>
                <w:szCs w:val="22"/>
              </w:rPr>
            </w:pPr>
            <w:r w:rsidRPr="00F51A15">
              <w:rPr>
                <w:rFonts w:asciiTheme="minorHAnsi" w:hAnsiTheme="minorHAnsi" w:cstheme="minorHAnsi"/>
                <w:b w:val="0"/>
                <w:i w:val="0"/>
                <w:noProof/>
                <w:sz w:val="22"/>
                <w:szCs w:val="22"/>
              </w:rPr>
              <w:t>In het licht van een verregaande flexibilisering en vereenvoudiging van het vennootschapsrecht wordt het ESV in het wetsontwerp evenwel niet hernomen. De bepalingen uit boek XIV van het Wetboek van vennootschappen “Het economisch samenwerkingsverband” die eveneens van toepassing zijn op het EESV worden daarentegen in dit wetsontwerp behouden. Daarnaast wordt het EESV in Boek 1 erkend als rechtspersoon waardoor de bepalingen die van toepassing zijn op rechtspersonen van toepassing zijn op het EESV tenzij daarvan uitdrukkelijk wordt afgeweken in boek 18. De overblijvende bepalingen van de EESV-wet worden overgeheveld naar boek 18.</w:t>
            </w:r>
          </w:p>
        </w:tc>
        <w:tc>
          <w:tcPr>
            <w:tcW w:w="5812" w:type="dxa"/>
            <w:gridSpan w:val="2"/>
            <w:shd w:val="clear" w:color="auto" w:fill="auto"/>
          </w:tcPr>
          <w:p w14:paraId="177538DF" w14:textId="77777777" w:rsidR="00F51A15" w:rsidRPr="008877CF" w:rsidRDefault="00F51A15" w:rsidP="00F51A15">
            <w:pPr>
              <w:pStyle w:val="Afdeling"/>
              <w:jc w:val="both"/>
              <w:rPr>
                <w:rFonts w:asciiTheme="minorHAnsi" w:hAnsiTheme="minorHAnsi" w:cstheme="minorHAnsi"/>
                <w:b w:val="0"/>
                <w:i w:val="0"/>
                <w:sz w:val="22"/>
                <w:szCs w:val="22"/>
                <w:lang w:val="fr-FR"/>
              </w:rPr>
            </w:pPr>
            <w:proofErr w:type="gramStart"/>
            <w:r w:rsidRPr="008877CF">
              <w:rPr>
                <w:rFonts w:asciiTheme="minorHAnsi" w:hAnsiTheme="minorHAnsi" w:cstheme="minorHAnsi"/>
                <w:b w:val="0"/>
                <w:i w:val="0"/>
                <w:sz w:val="22"/>
                <w:szCs w:val="22"/>
                <w:lang w:val="fr-FR"/>
              </w:rPr>
              <w:lastRenderedPageBreak/>
              <w:t>Introduction:</w:t>
            </w:r>
            <w:proofErr w:type="gramEnd"/>
          </w:p>
          <w:p w14:paraId="07138507" w14:textId="77777777" w:rsidR="00F51A15" w:rsidRPr="008877CF" w:rsidRDefault="00F51A15" w:rsidP="00F51A15">
            <w:pPr>
              <w:pStyle w:val="Afdeling"/>
              <w:jc w:val="both"/>
              <w:rPr>
                <w:rFonts w:asciiTheme="minorHAnsi" w:hAnsiTheme="minorHAnsi" w:cstheme="minorHAnsi"/>
                <w:b w:val="0"/>
                <w:i w:val="0"/>
                <w:sz w:val="22"/>
                <w:szCs w:val="22"/>
                <w:lang w:val="fr-FR"/>
              </w:rPr>
            </w:pPr>
          </w:p>
          <w:p w14:paraId="12E311FF" w14:textId="77777777" w:rsidR="00F51A15" w:rsidRPr="00F51A15" w:rsidRDefault="00F51A15" w:rsidP="00F51A15">
            <w:pPr>
              <w:pStyle w:val="Afdeling"/>
              <w:jc w:val="both"/>
              <w:rPr>
                <w:rFonts w:asciiTheme="minorHAnsi" w:hAnsiTheme="minorHAnsi" w:cstheme="minorHAnsi"/>
                <w:b w:val="0"/>
                <w:i w:val="0"/>
                <w:sz w:val="22"/>
                <w:szCs w:val="22"/>
                <w:lang w:val="fr-BE" w:eastAsia="fr-FR"/>
              </w:rPr>
            </w:pPr>
            <w:r w:rsidRPr="00F51A15">
              <w:rPr>
                <w:rFonts w:asciiTheme="minorHAnsi" w:hAnsiTheme="minorHAnsi" w:cstheme="minorHAnsi"/>
                <w:b w:val="0"/>
                <w:i w:val="0"/>
                <w:sz w:val="22"/>
                <w:szCs w:val="22"/>
                <w:lang w:val="fr-BE" w:eastAsia="fr-FR"/>
              </w:rPr>
              <w:t>Jusqu’en 1999, le groupement européen d’intérêt économique était réglé par les trois textes de loi suivants :</w:t>
            </w:r>
          </w:p>
          <w:p w14:paraId="2C361CCF" w14:textId="77777777" w:rsidR="00F51A15" w:rsidRPr="00F51A15" w:rsidRDefault="00F51A15" w:rsidP="00F51A15">
            <w:pPr>
              <w:pStyle w:val="Afdeling"/>
              <w:jc w:val="both"/>
              <w:rPr>
                <w:rFonts w:asciiTheme="minorHAnsi" w:hAnsiTheme="minorHAnsi" w:cstheme="minorHAnsi"/>
                <w:b w:val="0"/>
                <w:i w:val="0"/>
                <w:sz w:val="22"/>
                <w:szCs w:val="22"/>
                <w:lang w:val="fr-BE" w:eastAsia="fr-FR"/>
              </w:rPr>
            </w:pPr>
          </w:p>
          <w:p w14:paraId="32FBFB61" w14:textId="77777777" w:rsidR="00F51A15" w:rsidRPr="00F51A15" w:rsidRDefault="00F51A15" w:rsidP="00F51A15">
            <w:pPr>
              <w:pStyle w:val="Afdeling"/>
              <w:numPr>
                <w:ilvl w:val="0"/>
                <w:numId w:val="1"/>
              </w:numPr>
              <w:jc w:val="both"/>
              <w:rPr>
                <w:rFonts w:asciiTheme="minorHAnsi" w:hAnsiTheme="minorHAnsi" w:cstheme="minorHAnsi"/>
                <w:b w:val="0"/>
                <w:i w:val="0"/>
                <w:sz w:val="22"/>
                <w:szCs w:val="22"/>
                <w:lang w:val="fr-BE" w:eastAsia="fr-FR"/>
              </w:rPr>
            </w:pPr>
            <w:r w:rsidRPr="00F51A15">
              <w:rPr>
                <w:rFonts w:asciiTheme="minorHAnsi" w:hAnsiTheme="minorHAnsi" w:cstheme="minorHAnsi"/>
                <w:b w:val="0"/>
                <w:i w:val="0"/>
                <w:sz w:val="22"/>
                <w:szCs w:val="22"/>
                <w:lang w:val="fr-BE" w:eastAsia="fr-FR"/>
              </w:rPr>
              <w:t>Le règlement CEE n° 2137/85 du 25 juillet 1985 relatif à l'institution d'un groupement européen d'intérêt économique (ci-après « le règlement »), qui est obligatoire dans tous ses éléments et qui fixait une série de règles de base en lien avec le GEIE.</w:t>
            </w:r>
          </w:p>
          <w:p w14:paraId="07E78B56" w14:textId="77777777" w:rsidR="00F51A15" w:rsidRPr="00F51A15" w:rsidRDefault="00F51A15" w:rsidP="00F51A15">
            <w:pPr>
              <w:pStyle w:val="Afdeling"/>
              <w:numPr>
                <w:ilvl w:val="0"/>
                <w:numId w:val="1"/>
              </w:numPr>
              <w:jc w:val="both"/>
              <w:rPr>
                <w:rFonts w:asciiTheme="minorHAnsi" w:hAnsiTheme="minorHAnsi" w:cstheme="minorHAnsi"/>
                <w:b w:val="0"/>
                <w:i w:val="0"/>
                <w:sz w:val="22"/>
                <w:szCs w:val="22"/>
                <w:lang w:val="fr-BE" w:eastAsia="fr-FR"/>
              </w:rPr>
            </w:pPr>
            <w:r w:rsidRPr="00F51A15">
              <w:rPr>
                <w:rFonts w:asciiTheme="minorHAnsi" w:hAnsiTheme="minorHAnsi" w:cstheme="minorHAnsi"/>
                <w:b w:val="0"/>
                <w:i w:val="0"/>
                <w:sz w:val="22"/>
                <w:szCs w:val="22"/>
                <w:lang w:val="fr-BE" w:eastAsia="fr-FR"/>
              </w:rPr>
              <w:lastRenderedPageBreak/>
              <w:t>La loi du 12 juillet 1989 portant diverses mesures d'application du règlement qui transpose le règlement en droit belge (ci-après « Loi GEIE »).</w:t>
            </w:r>
          </w:p>
          <w:p w14:paraId="58D92693" w14:textId="77777777" w:rsidR="00F51A15" w:rsidRPr="00F51A15" w:rsidRDefault="00F51A15" w:rsidP="00F51A15">
            <w:pPr>
              <w:pStyle w:val="Afdeling"/>
              <w:jc w:val="both"/>
              <w:rPr>
                <w:rFonts w:asciiTheme="minorHAnsi" w:hAnsiTheme="minorHAnsi" w:cstheme="minorHAnsi"/>
                <w:b w:val="0"/>
                <w:i w:val="0"/>
                <w:sz w:val="22"/>
                <w:szCs w:val="22"/>
                <w:lang w:val="fr-BE" w:eastAsia="fr-FR"/>
              </w:rPr>
            </w:pPr>
          </w:p>
          <w:p w14:paraId="1DA9C86B" w14:textId="77777777" w:rsidR="00F51A15" w:rsidRPr="00F51A15" w:rsidRDefault="00F51A15" w:rsidP="00F51A15">
            <w:pPr>
              <w:pStyle w:val="Afdeling"/>
              <w:numPr>
                <w:ilvl w:val="0"/>
                <w:numId w:val="1"/>
              </w:numPr>
              <w:jc w:val="both"/>
              <w:rPr>
                <w:rFonts w:asciiTheme="minorHAnsi" w:hAnsiTheme="minorHAnsi" w:cstheme="minorHAnsi"/>
                <w:b w:val="0"/>
                <w:i w:val="0"/>
                <w:sz w:val="22"/>
                <w:szCs w:val="22"/>
                <w:lang w:val="fr-BE" w:eastAsia="fr-FR"/>
              </w:rPr>
            </w:pPr>
            <w:r w:rsidRPr="00F51A15">
              <w:rPr>
                <w:rFonts w:asciiTheme="minorHAnsi" w:hAnsiTheme="minorHAnsi" w:cstheme="minorHAnsi"/>
                <w:b w:val="0"/>
                <w:i w:val="0"/>
                <w:sz w:val="22"/>
                <w:szCs w:val="22"/>
                <w:lang w:val="fr-BE" w:eastAsia="fr-FR"/>
              </w:rPr>
              <w:t>Le Code des sociétés dans lequel était reprise l’ancienne loi du 17 juillet 1989 sur les groupements d'intérêt économique (ci-après « Loi GIE ») dans les articles 839 à 873 du Code des sociétés (voir article 2 de la loi GEIE), et dans lequel étaient également reprises les dispositions concernant l’acte constitutif et le fonctionnement interne du GEIE.</w:t>
            </w:r>
          </w:p>
          <w:p w14:paraId="157A83BF" w14:textId="77777777" w:rsidR="00F51A15" w:rsidRPr="00F51A15" w:rsidRDefault="00F51A15" w:rsidP="00F51A15">
            <w:pPr>
              <w:pStyle w:val="Lijstalinea"/>
              <w:jc w:val="both"/>
              <w:rPr>
                <w:rFonts w:asciiTheme="minorHAnsi" w:hAnsiTheme="minorHAnsi" w:cstheme="minorHAnsi"/>
                <w:b/>
                <w:i/>
                <w:sz w:val="22"/>
                <w:szCs w:val="22"/>
                <w:lang w:eastAsia="fr-FR"/>
              </w:rPr>
            </w:pPr>
          </w:p>
          <w:p w14:paraId="181CE5D2" w14:textId="77777777" w:rsidR="00F51A15" w:rsidRPr="00F51A15" w:rsidRDefault="00F51A15" w:rsidP="00F51A15">
            <w:pPr>
              <w:pStyle w:val="Afdeling"/>
              <w:jc w:val="both"/>
              <w:rPr>
                <w:rFonts w:asciiTheme="minorHAnsi" w:hAnsiTheme="minorHAnsi" w:cstheme="minorHAnsi"/>
                <w:b w:val="0"/>
                <w:i w:val="0"/>
                <w:sz w:val="22"/>
                <w:szCs w:val="22"/>
                <w:lang w:val="fr-BE" w:eastAsia="fr-FR"/>
              </w:rPr>
            </w:pPr>
            <w:r w:rsidRPr="00F51A15">
              <w:rPr>
                <w:rFonts w:asciiTheme="minorHAnsi" w:hAnsiTheme="minorHAnsi" w:cstheme="minorHAnsi"/>
                <w:b w:val="0"/>
                <w:i w:val="0"/>
                <w:sz w:val="22"/>
                <w:szCs w:val="22"/>
                <w:lang w:val="fr-BE" w:eastAsia="fr-FR"/>
              </w:rPr>
              <w:t>A la lumière d’une flexibilisation et  simplification approfondies du droit des sociétés, le GIE n’est cependant pas repris dans le projet de loi. En revanche, les dispositions du livre XIV du Code des sociétés « Les groupements d'intérêt économique » qui sont également applicables au GEIE sont maintenues dans ce projet de loi. En outre, le GEIE inclus dans le Livre 1 est reconnu en tant que personne morale, permettant aux dispositions d’application aux personnes morales d’être aussi applicables au GEIE, sauf dérogation explicite contenue dans le livre 18. Les dispositions restantes contenues dans la loi GEIE sont transférées dans le livre 18.</w:t>
            </w:r>
          </w:p>
        </w:tc>
      </w:tr>
      <w:tr w:rsidR="00F51A15" w:rsidRPr="00F51A15" w14:paraId="6E39B932" w14:textId="77777777" w:rsidTr="003423D1">
        <w:tc>
          <w:tcPr>
            <w:tcW w:w="13556" w:type="dxa"/>
            <w:gridSpan w:val="3"/>
          </w:tcPr>
          <w:p w14:paraId="2738FE4D" w14:textId="77777777" w:rsidR="00F51A15" w:rsidRPr="00F51A15" w:rsidRDefault="00F51A15" w:rsidP="00F51A15">
            <w:pPr>
              <w:rPr>
                <w:b/>
                <w:sz w:val="32"/>
                <w:szCs w:val="32"/>
                <w:lang w:val="nl-BE"/>
              </w:rPr>
            </w:pPr>
            <w:r>
              <w:rPr>
                <w:b/>
                <w:sz w:val="32"/>
                <w:szCs w:val="32"/>
                <w:lang w:val="nl-BE"/>
              </w:rPr>
              <w:lastRenderedPageBreak/>
              <w:t>Titel 1. – A</w:t>
            </w:r>
            <w:r w:rsidRPr="00F51A15">
              <w:rPr>
                <w:b/>
                <w:sz w:val="32"/>
                <w:szCs w:val="32"/>
                <w:lang w:val="nl-BE"/>
              </w:rPr>
              <w:t>lgemene bepalingen.</w:t>
            </w:r>
          </w:p>
        </w:tc>
        <w:tc>
          <w:tcPr>
            <w:tcW w:w="425" w:type="dxa"/>
            <w:shd w:val="clear" w:color="auto" w:fill="auto"/>
          </w:tcPr>
          <w:p w14:paraId="508089F7" w14:textId="77777777" w:rsidR="00F51A15" w:rsidRPr="007B17CA" w:rsidRDefault="00F51A15" w:rsidP="00F51A15">
            <w:pPr>
              <w:jc w:val="center"/>
              <w:rPr>
                <w:rFonts w:ascii="Cambria" w:eastAsia="Calibri" w:hAnsi="Cambria" w:cs="Times New Roman"/>
                <w:b/>
                <w:bCs/>
                <w:color w:val="4F81BD"/>
                <w:sz w:val="32"/>
                <w:szCs w:val="26"/>
                <w:lang w:val="nl-NL" w:eastAsia="fr-FR"/>
              </w:rPr>
            </w:pPr>
          </w:p>
        </w:tc>
      </w:tr>
      <w:tr w:rsidR="00F51A15" w:rsidRPr="00C70249" w14:paraId="3EAC15B0" w14:textId="77777777" w:rsidTr="003423D1">
        <w:tc>
          <w:tcPr>
            <w:tcW w:w="13556" w:type="dxa"/>
            <w:gridSpan w:val="3"/>
          </w:tcPr>
          <w:p w14:paraId="3782A5A8" w14:textId="77777777" w:rsidR="00F51A15" w:rsidRDefault="00F51A15" w:rsidP="00F51A15">
            <w:pPr>
              <w:rPr>
                <w:b/>
                <w:sz w:val="32"/>
                <w:szCs w:val="32"/>
                <w:lang w:val="nl-BE"/>
              </w:rPr>
            </w:pPr>
            <w:r w:rsidRPr="00F51A15">
              <w:rPr>
                <w:b/>
                <w:sz w:val="32"/>
                <w:szCs w:val="32"/>
                <w:lang w:val="nl-BE"/>
              </w:rPr>
              <w:t xml:space="preserve">Hoofdstuk 1. </w:t>
            </w:r>
            <w:r>
              <w:rPr>
                <w:b/>
                <w:sz w:val="32"/>
                <w:szCs w:val="32"/>
                <w:lang w:val="nl-BE"/>
              </w:rPr>
              <w:t>– D</w:t>
            </w:r>
            <w:r w:rsidRPr="00F51A15">
              <w:rPr>
                <w:b/>
                <w:sz w:val="32"/>
                <w:szCs w:val="32"/>
                <w:lang w:val="nl-BE"/>
              </w:rPr>
              <w:t>efinitie en toepasselijk recht.</w:t>
            </w:r>
          </w:p>
        </w:tc>
        <w:tc>
          <w:tcPr>
            <w:tcW w:w="425" w:type="dxa"/>
            <w:shd w:val="clear" w:color="auto" w:fill="auto"/>
          </w:tcPr>
          <w:p w14:paraId="2A19E67D" w14:textId="77777777" w:rsidR="00F51A15" w:rsidRPr="007B17CA" w:rsidRDefault="00F51A15" w:rsidP="00F51A15">
            <w:pPr>
              <w:jc w:val="center"/>
              <w:rPr>
                <w:rFonts w:ascii="Cambria" w:eastAsia="Calibri" w:hAnsi="Cambria" w:cs="Times New Roman"/>
                <w:b/>
                <w:bCs/>
                <w:color w:val="4F81BD"/>
                <w:sz w:val="32"/>
                <w:szCs w:val="26"/>
                <w:lang w:val="nl-NL" w:eastAsia="fr-FR"/>
              </w:rPr>
            </w:pPr>
          </w:p>
        </w:tc>
      </w:tr>
      <w:tr w:rsidR="00F51A15" w:rsidRPr="00F51A15" w14:paraId="43DF3726" w14:textId="77777777" w:rsidTr="003423D1">
        <w:tc>
          <w:tcPr>
            <w:tcW w:w="2122" w:type="dxa"/>
          </w:tcPr>
          <w:p w14:paraId="6AC8D754" w14:textId="77777777" w:rsidR="00F51A15" w:rsidRPr="00B07AC9" w:rsidRDefault="00F51A15" w:rsidP="00F51A15">
            <w:pPr>
              <w:rPr>
                <w:b/>
                <w:sz w:val="32"/>
                <w:szCs w:val="32"/>
                <w:lang w:val="nl-BE"/>
              </w:rPr>
            </w:pPr>
            <w:r>
              <w:rPr>
                <w:b/>
                <w:sz w:val="32"/>
                <w:szCs w:val="32"/>
                <w:lang w:val="nl-BE"/>
              </w:rPr>
              <w:t>ARTIKEL 18:1</w:t>
            </w:r>
          </w:p>
        </w:tc>
        <w:tc>
          <w:tcPr>
            <w:tcW w:w="11859" w:type="dxa"/>
            <w:gridSpan w:val="3"/>
            <w:shd w:val="clear" w:color="auto" w:fill="auto"/>
          </w:tcPr>
          <w:p w14:paraId="35F99BEA" w14:textId="77777777" w:rsidR="00F51A15" w:rsidRPr="007B17CA" w:rsidRDefault="00F51A15" w:rsidP="00F51A15">
            <w:pPr>
              <w:jc w:val="center"/>
              <w:rPr>
                <w:rFonts w:ascii="Cambria" w:eastAsia="Calibri" w:hAnsi="Cambria" w:cs="Times New Roman"/>
                <w:b/>
                <w:bCs/>
                <w:color w:val="4F81BD"/>
                <w:sz w:val="32"/>
                <w:szCs w:val="26"/>
                <w:lang w:val="nl-NL" w:eastAsia="fr-FR"/>
              </w:rPr>
            </w:pPr>
          </w:p>
        </w:tc>
      </w:tr>
      <w:tr w:rsidR="00F51A15" w:rsidRPr="00F51A15" w14:paraId="71DA9D89" w14:textId="77777777" w:rsidTr="003423D1">
        <w:tc>
          <w:tcPr>
            <w:tcW w:w="2122" w:type="dxa"/>
          </w:tcPr>
          <w:p w14:paraId="65539028" w14:textId="77777777" w:rsidR="00F51A15" w:rsidRDefault="00F51A15" w:rsidP="00F51A15">
            <w:pPr>
              <w:rPr>
                <w:b/>
                <w:sz w:val="32"/>
                <w:szCs w:val="32"/>
                <w:lang w:val="nl-BE"/>
              </w:rPr>
            </w:pPr>
          </w:p>
        </w:tc>
        <w:tc>
          <w:tcPr>
            <w:tcW w:w="11859" w:type="dxa"/>
            <w:gridSpan w:val="3"/>
            <w:shd w:val="clear" w:color="auto" w:fill="auto"/>
          </w:tcPr>
          <w:p w14:paraId="51CE4930" w14:textId="77777777" w:rsidR="00F51A15" w:rsidRPr="007B17CA" w:rsidRDefault="00F51A15" w:rsidP="00F51A15">
            <w:pPr>
              <w:jc w:val="center"/>
              <w:rPr>
                <w:rFonts w:ascii="Cambria" w:eastAsia="Calibri" w:hAnsi="Cambria" w:cs="Times New Roman"/>
                <w:b/>
                <w:bCs/>
                <w:color w:val="4F81BD"/>
                <w:sz w:val="32"/>
                <w:szCs w:val="26"/>
                <w:lang w:val="nl-NL" w:eastAsia="fr-FR"/>
              </w:rPr>
            </w:pPr>
          </w:p>
        </w:tc>
      </w:tr>
      <w:tr w:rsidR="00F51A15" w:rsidRPr="00C70249" w14:paraId="5BAEDBBC" w14:textId="77777777" w:rsidTr="003423D1">
        <w:trPr>
          <w:trHeight w:val="1124"/>
        </w:trPr>
        <w:tc>
          <w:tcPr>
            <w:tcW w:w="2122" w:type="dxa"/>
          </w:tcPr>
          <w:p w14:paraId="6ADA8E92" w14:textId="77777777" w:rsidR="00F51A15" w:rsidRDefault="00F51A15" w:rsidP="00F51A15">
            <w:pPr>
              <w:spacing w:after="0" w:line="240" w:lineRule="auto"/>
              <w:rPr>
                <w:rFonts w:cs="Calibri"/>
                <w:lang w:val="nl-BE"/>
              </w:rPr>
            </w:pPr>
            <w:r>
              <w:rPr>
                <w:rFonts w:cs="Calibri"/>
                <w:lang w:val="nl-BE"/>
              </w:rPr>
              <w:lastRenderedPageBreak/>
              <w:t>WVV</w:t>
            </w:r>
          </w:p>
        </w:tc>
        <w:tc>
          <w:tcPr>
            <w:tcW w:w="6047" w:type="dxa"/>
            <w:shd w:val="clear" w:color="auto" w:fill="auto"/>
          </w:tcPr>
          <w:p w14:paraId="5D9C7657" w14:textId="77777777" w:rsidR="00F51A15" w:rsidRPr="00B63144" w:rsidRDefault="00F51A15" w:rsidP="00F51A15">
            <w:pPr>
              <w:spacing w:after="0" w:line="240" w:lineRule="auto"/>
              <w:jc w:val="both"/>
              <w:rPr>
                <w:rFonts w:cs="Calibri"/>
                <w:lang w:val="nl-BE"/>
              </w:rPr>
            </w:pPr>
            <w:r w:rsidRPr="00B63144">
              <w:rPr>
                <w:rFonts w:cs="Calibri"/>
                <w:lang w:val="nl-BE"/>
              </w:rPr>
              <w:t>Voor de toepassing van dit boek wordt verstaan onder  “verordening (EEG) nr. 2137/85”: “verordening (EEG) nr. 2137/85 van de Raad van 25 juli 1985 tot instelling van Europese economische samenwerkingsverbanden (EESV)”.</w:t>
            </w:r>
          </w:p>
        </w:tc>
        <w:tc>
          <w:tcPr>
            <w:tcW w:w="5812" w:type="dxa"/>
            <w:gridSpan w:val="2"/>
            <w:shd w:val="clear" w:color="auto" w:fill="auto"/>
          </w:tcPr>
          <w:p w14:paraId="5674D8D2" w14:textId="77777777" w:rsidR="00F51A15" w:rsidRPr="00B63144" w:rsidRDefault="00F51A15" w:rsidP="00F51A15">
            <w:pPr>
              <w:spacing w:after="0" w:line="240" w:lineRule="auto"/>
              <w:jc w:val="both"/>
              <w:rPr>
                <w:rFonts w:cs="Calibri"/>
                <w:lang w:val="fr-BE"/>
              </w:rPr>
            </w:pPr>
            <w:r w:rsidRPr="00B63144">
              <w:rPr>
                <w:rFonts w:cs="Calibri"/>
                <w:lang w:val="fr-BE"/>
              </w:rPr>
              <w:t xml:space="preserve">Pour l'application du présent </w:t>
            </w:r>
            <w:r>
              <w:rPr>
                <w:rFonts w:cs="Calibri"/>
                <w:lang w:val="fr-BE"/>
              </w:rPr>
              <w:t>livre</w:t>
            </w:r>
            <w:r w:rsidRPr="00B63144">
              <w:rPr>
                <w:rFonts w:cs="Calibri"/>
                <w:lang w:val="fr-BE"/>
              </w:rPr>
              <w:t>, l'on entend par « règlement (CEE) n° 2137/85 » : « règlement (CEE) n° 2137/85 du Conseil du 25 juillet 1985 relatif à l'institution d'un groupement européen d'intérêt économiq</w:t>
            </w:r>
            <w:r>
              <w:rPr>
                <w:rFonts w:cs="Calibri"/>
                <w:lang w:val="fr-BE"/>
              </w:rPr>
              <w:t>ue (GEIE) ».</w:t>
            </w:r>
          </w:p>
        </w:tc>
      </w:tr>
      <w:tr w:rsidR="00C70249" w:rsidRPr="00C70249" w14:paraId="0ADA7BC4" w14:textId="77777777" w:rsidTr="00C70249">
        <w:trPr>
          <w:trHeight w:val="396"/>
        </w:trPr>
        <w:tc>
          <w:tcPr>
            <w:tcW w:w="2122" w:type="dxa"/>
          </w:tcPr>
          <w:p w14:paraId="0725DF0B" w14:textId="45748B51" w:rsidR="00C70249" w:rsidRDefault="00C70249" w:rsidP="00F51A15">
            <w:pPr>
              <w:spacing w:after="0" w:line="240" w:lineRule="auto"/>
              <w:rPr>
                <w:rFonts w:cs="Calibri"/>
                <w:lang w:val="nl-BE"/>
              </w:rPr>
            </w:pPr>
            <w:proofErr w:type="spellStart"/>
            <w:r w:rsidRPr="00CE7B72">
              <w:t>Ontwerp</w:t>
            </w:r>
            <w:proofErr w:type="spellEnd"/>
          </w:p>
        </w:tc>
        <w:tc>
          <w:tcPr>
            <w:tcW w:w="6047" w:type="dxa"/>
            <w:shd w:val="clear" w:color="auto" w:fill="auto"/>
          </w:tcPr>
          <w:p w14:paraId="52EA4E29" w14:textId="231172C0" w:rsidR="00C70249" w:rsidRPr="00B63144" w:rsidRDefault="00C70249" w:rsidP="00F51A15">
            <w:pPr>
              <w:spacing w:after="0" w:line="240" w:lineRule="auto"/>
              <w:jc w:val="both"/>
              <w:rPr>
                <w:rFonts w:cs="Calibri"/>
                <w:lang w:val="nl-BE"/>
              </w:rPr>
            </w:pPr>
            <w:proofErr w:type="spellStart"/>
            <w:r w:rsidRPr="00CE7B72">
              <w:t>Geen</w:t>
            </w:r>
            <w:proofErr w:type="spellEnd"/>
            <w:r w:rsidRPr="00CE7B72">
              <w:t xml:space="preserve"> </w:t>
            </w:r>
            <w:proofErr w:type="spellStart"/>
            <w:r w:rsidRPr="00CE7B72">
              <w:t>artikel</w:t>
            </w:r>
            <w:proofErr w:type="spellEnd"/>
            <w:r>
              <w:t>.</w:t>
            </w:r>
          </w:p>
        </w:tc>
        <w:tc>
          <w:tcPr>
            <w:tcW w:w="5812" w:type="dxa"/>
            <w:gridSpan w:val="2"/>
            <w:shd w:val="clear" w:color="auto" w:fill="auto"/>
          </w:tcPr>
          <w:p w14:paraId="01C55856" w14:textId="6F6BFECC" w:rsidR="00C70249" w:rsidRPr="00B63144" w:rsidRDefault="00C70249" w:rsidP="00F51A15">
            <w:pPr>
              <w:spacing w:after="0" w:line="240" w:lineRule="auto"/>
              <w:jc w:val="both"/>
              <w:rPr>
                <w:rFonts w:cs="Calibri"/>
                <w:lang w:val="fr-BE"/>
              </w:rPr>
            </w:pPr>
            <w:r w:rsidRPr="00CE7B72">
              <w:t xml:space="preserve">Pas </w:t>
            </w:r>
            <w:proofErr w:type="spellStart"/>
            <w:r w:rsidRPr="00CE7B72">
              <w:t>d’article</w:t>
            </w:r>
            <w:proofErr w:type="spellEnd"/>
            <w:r>
              <w:t>.</w:t>
            </w:r>
          </w:p>
        </w:tc>
      </w:tr>
      <w:tr w:rsidR="00C70249" w:rsidRPr="00AE45B7" w14:paraId="4FA04E5A" w14:textId="77777777" w:rsidTr="003423D1">
        <w:trPr>
          <w:trHeight w:val="404"/>
        </w:trPr>
        <w:tc>
          <w:tcPr>
            <w:tcW w:w="2122" w:type="dxa"/>
          </w:tcPr>
          <w:p w14:paraId="5E30A744" w14:textId="77777777" w:rsidR="00C70249" w:rsidRPr="00E07D29" w:rsidRDefault="00C70249" w:rsidP="00E605EA">
            <w:pPr>
              <w:spacing w:after="0"/>
            </w:pPr>
            <w:proofErr w:type="spellStart"/>
            <w:r>
              <w:t>Vooro</w:t>
            </w:r>
            <w:r w:rsidRPr="00E07D29">
              <w:t>ntwerp</w:t>
            </w:r>
            <w:proofErr w:type="spellEnd"/>
          </w:p>
        </w:tc>
        <w:tc>
          <w:tcPr>
            <w:tcW w:w="6047" w:type="dxa"/>
            <w:shd w:val="clear" w:color="auto" w:fill="auto"/>
          </w:tcPr>
          <w:p w14:paraId="0B8DD218" w14:textId="77777777" w:rsidR="00C70249" w:rsidRPr="00E07D29" w:rsidRDefault="00C70249" w:rsidP="008877CF">
            <w:pPr>
              <w:spacing w:after="0"/>
            </w:pPr>
            <w:proofErr w:type="spellStart"/>
            <w:r w:rsidRPr="00E07D29">
              <w:t>Geen</w:t>
            </w:r>
            <w:proofErr w:type="spellEnd"/>
            <w:r w:rsidRPr="00E07D29">
              <w:t xml:space="preserve"> </w:t>
            </w:r>
            <w:proofErr w:type="spellStart"/>
            <w:r w:rsidRPr="00E07D29">
              <w:t>artikel</w:t>
            </w:r>
            <w:proofErr w:type="spellEnd"/>
            <w:r>
              <w:t>.</w:t>
            </w:r>
          </w:p>
        </w:tc>
        <w:tc>
          <w:tcPr>
            <w:tcW w:w="5812" w:type="dxa"/>
            <w:gridSpan w:val="2"/>
            <w:shd w:val="clear" w:color="auto" w:fill="auto"/>
          </w:tcPr>
          <w:p w14:paraId="5AC195E5" w14:textId="77777777" w:rsidR="00C70249" w:rsidRDefault="00C70249" w:rsidP="008877CF">
            <w:pPr>
              <w:spacing w:after="0"/>
            </w:pPr>
            <w:r w:rsidRPr="00E07D29">
              <w:t xml:space="preserve">Pas </w:t>
            </w:r>
            <w:proofErr w:type="spellStart"/>
            <w:r w:rsidRPr="00E07D29">
              <w:t>d’article</w:t>
            </w:r>
            <w:proofErr w:type="spellEnd"/>
            <w:r>
              <w:t>.</w:t>
            </w:r>
          </w:p>
        </w:tc>
      </w:tr>
      <w:tr w:rsidR="00C70249" w:rsidRPr="003423D1" w14:paraId="449A9976" w14:textId="77777777" w:rsidTr="003423D1">
        <w:trPr>
          <w:trHeight w:val="75"/>
        </w:trPr>
        <w:tc>
          <w:tcPr>
            <w:tcW w:w="2122" w:type="dxa"/>
          </w:tcPr>
          <w:p w14:paraId="466D3262" w14:textId="77777777" w:rsidR="00C70249" w:rsidRPr="00CE7B72" w:rsidRDefault="00C70249" w:rsidP="00F51A15">
            <w:bookmarkStart w:id="0" w:name="_GoBack"/>
            <w:bookmarkEnd w:id="0"/>
            <w:proofErr w:type="spellStart"/>
            <w:r>
              <w:t>MvT</w:t>
            </w:r>
            <w:proofErr w:type="spellEnd"/>
          </w:p>
        </w:tc>
        <w:tc>
          <w:tcPr>
            <w:tcW w:w="6047" w:type="dxa"/>
            <w:shd w:val="clear" w:color="auto" w:fill="auto"/>
          </w:tcPr>
          <w:p w14:paraId="6632A3B4" w14:textId="77777777" w:rsidR="00C70249" w:rsidRPr="008877CF" w:rsidRDefault="00C70249" w:rsidP="008877CF">
            <w:pPr>
              <w:spacing w:after="0"/>
              <w:rPr>
                <w:u w:val="single"/>
                <w:lang w:val="nl-BE"/>
              </w:rPr>
            </w:pPr>
            <w:r w:rsidRPr="008877CF">
              <w:rPr>
                <w:u w:val="single"/>
                <w:lang w:val="nl-BE"/>
              </w:rPr>
              <w:t>Artikelen 18:1 en 18:2.</w:t>
            </w:r>
          </w:p>
          <w:p w14:paraId="3FBF22E2" w14:textId="77777777" w:rsidR="00C70249" w:rsidRPr="00F51A15" w:rsidRDefault="00C70249" w:rsidP="008877CF">
            <w:pPr>
              <w:spacing w:after="0"/>
              <w:rPr>
                <w:lang w:val="nl-BE"/>
              </w:rPr>
            </w:pPr>
            <w:r w:rsidRPr="00F51A15">
              <w:rPr>
                <w:lang w:val="nl-BE"/>
              </w:rPr>
              <w:t>Deze artikelen behoeven geen commentaar.</w:t>
            </w:r>
          </w:p>
        </w:tc>
        <w:tc>
          <w:tcPr>
            <w:tcW w:w="5812" w:type="dxa"/>
            <w:gridSpan w:val="2"/>
            <w:shd w:val="clear" w:color="auto" w:fill="auto"/>
          </w:tcPr>
          <w:p w14:paraId="22AA008F" w14:textId="77777777" w:rsidR="00C70249" w:rsidRPr="008877CF" w:rsidRDefault="00C70249" w:rsidP="008877CF">
            <w:pPr>
              <w:spacing w:after="0"/>
              <w:rPr>
                <w:i/>
                <w:lang w:val="fr-FR"/>
              </w:rPr>
            </w:pPr>
            <w:r w:rsidRPr="008877CF">
              <w:rPr>
                <w:i/>
                <w:lang w:val="fr-FR"/>
              </w:rPr>
              <w:t xml:space="preserve">Articles </w:t>
            </w:r>
            <w:proofErr w:type="gramStart"/>
            <w:r w:rsidRPr="008877CF">
              <w:rPr>
                <w:i/>
                <w:lang w:val="fr-FR"/>
              </w:rPr>
              <w:t>18:</w:t>
            </w:r>
            <w:proofErr w:type="gramEnd"/>
            <w:r w:rsidRPr="008877CF">
              <w:rPr>
                <w:i/>
                <w:lang w:val="fr-FR"/>
              </w:rPr>
              <w:t>1 et 18:2.</w:t>
            </w:r>
          </w:p>
          <w:p w14:paraId="6EE43A39" w14:textId="77777777" w:rsidR="00C70249" w:rsidRPr="00F51A15" w:rsidRDefault="00C70249" w:rsidP="008877CF">
            <w:pPr>
              <w:spacing w:after="0"/>
              <w:rPr>
                <w:lang w:val="fr-FR"/>
              </w:rPr>
            </w:pPr>
            <w:r w:rsidRPr="00F51A15">
              <w:rPr>
                <w:lang w:val="fr-FR"/>
              </w:rPr>
              <w:t>Ces articles n'appellent pas de commentaire.</w:t>
            </w:r>
          </w:p>
        </w:tc>
      </w:tr>
      <w:tr w:rsidR="00C70249" w:rsidRPr="00F51A15" w14:paraId="13B5C527" w14:textId="77777777" w:rsidTr="003423D1">
        <w:trPr>
          <w:trHeight w:val="353"/>
        </w:trPr>
        <w:tc>
          <w:tcPr>
            <w:tcW w:w="2122" w:type="dxa"/>
          </w:tcPr>
          <w:p w14:paraId="79FE2E56" w14:textId="77777777" w:rsidR="00C70249" w:rsidRDefault="00C70249" w:rsidP="00E605EA">
            <w:pPr>
              <w:spacing w:after="0"/>
            </w:pPr>
            <w:proofErr w:type="spellStart"/>
            <w:r>
              <w:t>RvSt</w:t>
            </w:r>
            <w:proofErr w:type="spellEnd"/>
          </w:p>
        </w:tc>
        <w:tc>
          <w:tcPr>
            <w:tcW w:w="6047" w:type="dxa"/>
            <w:shd w:val="clear" w:color="auto" w:fill="auto"/>
          </w:tcPr>
          <w:p w14:paraId="27449DB8" w14:textId="77777777" w:rsidR="00C70249" w:rsidRDefault="00C70249" w:rsidP="008877CF">
            <w:pPr>
              <w:spacing w:after="0"/>
            </w:pPr>
            <w:proofErr w:type="spellStart"/>
            <w:r>
              <w:t>Geen</w:t>
            </w:r>
            <w:proofErr w:type="spellEnd"/>
            <w:r>
              <w:t xml:space="preserve"> </w:t>
            </w:r>
            <w:proofErr w:type="spellStart"/>
            <w:r>
              <w:t>opmerkingen</w:t>
            </w:r>
            <w:proofErr w:type="spellEnd"/>
            <w:r>
              <w:t>.</w:t>
            </w:r>
          </w:p>
        </w:tc>
        <w:tc>
          <w:tcPr>
            <w:tcW w:w="5812" w:type="dxa"/>
            <w:gridSpan w:val="2"/>
            <w:shd w:val="clear" w:color="auto" w:fill="auto"/>
          </w:tcPr>
          <w:p w14:paraId="0E6354B8" w14:textId="77777777" w:rsidR="00C70249" w:rsidRPr="00F51A15" w:rsidRDefault="00C70249" w:rsidP="008877CF">
            <w:pPr>
              <w:spacing w:after="0"/>
              <w:rPr>
                <w:lang w:val="nl-BE"/>
              </w:rPr>
            </w:pPr>
            <w:r>
              <w:rPr>
                <w:lang w:val="nl-BE"/>
              </w:rPr>
              <w:t>Pas de remarques.</w:t>
            </w:r>
          </w:p>
        </w:tc>
      </w:tr>
    </w:tbl>
    <w:p w14:paraId="3F592662" w14:textId="77777777" w:rsidR="001203BA" w:rsidRPr="00F51A15" w:rsidRDefault="001203BA" w:rsidP="001203BA">
      <w:pPr>
        <w:rPr>
          <w:lang w:val="fr-FR"/>
        </w:rPr>
      </w:pPr>
    </w:p>
    <w:p w14:paraId="5A2266CD" w14:textId="77777777" w:rsidR="00A820D7" w:rsidRPr="00F51A15" w:rsidRDefault="00A820D7">
      <w:pPr>
        <w:rPr>
          <w:lang w:val="fr-FR"/>
        </w:rPr>
      </w:pPr>
    </w:p>
    <w:sectPr w:rsidR="00A820D7" w:rsidRPr="00F51A1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D4296"/>
    <w:multiLevelType w:val="hybridMultilevel"/>
    <w:tmpl w:val="74F8D396"/>
    <w:lvl w:ilvl="0" w:tplc="D478AE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84E4D"/>
    <w:rsid w:val="00093A2B"/>
    <w:rsid w:val="00093D24"/>
    <w:rsid w:val="000B17B4"/>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0D98"/>
    <w:rsid w:val="0021135B"/>
    <w:rsid w:val="00213D83"/>
    <w:rsid w:val="00214ADA"/>
    <w:rsid w:val="00216A35"/>
    <w:rsid w:val="002337A0"/>
    <w:rsid w:val="00251BBF"/>
    <w:rsid w:val="00253930"/>
    <w:rsid w:val="002562D5"/>
    <w:rsid w:val="00262FAA"/>
    <w:rsid w:val="0026584A"/>
    <w:rsid w:val="00265C16"/>
    <w:rsid w:val="00266349"/>
    <w:rsid w:val="00267866"/>
    <w:rsid w:val="00271C8A"/>
    <w:rsid w:val="00274C37"/>
    <w:rsid w:val="00276531"/>
    <w:rsid w:val="002820F5"/>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340F4"/>
    <w:rsid w:val="00340C21"/>
    <w:rsid w:val="003423D1"/>
    <w:rsid w:val="003545A5"/>
    <w:rsid w:val="003564D8"/>
    <w:rsid w:val="00357D30"/>
    <w:rsid w:val="00367502"/>
    <w:rsid w:val="003831C0"/>
    <w:rsid w:val="00392936"/>
    <w:rsid w:val="003A1C6D"/>
    <w:rsid w:val="003A3D34"/>
    <w:rsid w:val="003A7991"/>
    <w:rsid w:val="003B06EB"/>
    <w:rsid w:val="003B15A0"/>
    <w:rsid w:val="003C38B1"/>
    <w:rsid w:val="003D744D"/>
    <w:rsid w:val="003E1F7C"/>
    <w:rsid w:val="003E76C0"/>
    <w:rsid w:val="003F24EE"/>
    <w:rsid w:val="003F6F60"/>
    <w:rsid w:val="00400236"/>
    <w:rsid w:val="00404691"/>
    <w:rsid w:val="00405ACE"/>
    <w:rsid w:val="00415C03"/>
    <w:rsid w:val="00423115"/>
    <w:rsid w:val="004334BF"/>
    <w:rsid w:val="00436918"/>
    <w:rsid w:val="00441E30"/>
    <w:rsid w:val="004443F2"/>
    <w:rsid w:val="004610CD"/>
    <w:rsid w:val="004637CE"/>
    <w:rsid w:val="0047203B"/>
    <w:rsid w:val="00492278"/>
    <w:rsid w:val="00492FE9"/>
    <w:rsid w:val="004A39E3"/>
    <w:rsid w:val="004A7563"/>
    <w:rsid w:val="004C3052"/>
    <w:rsid w:val="004C63AD"/>
    <w:rsid w:val="004F6E1D"/>
    <w:rsid w:val="00502CB1"/>
    <w:rsid w:val="005133BD"/>
    <w:rsid w:val="00513F84"/>
    <w:rsid w:val="00525185"/>
    <w:rsid w:val="00534740"/>
    <w:rsid w:val="005364B4"/>
    <w:rsid w:val="005415E2"/>
    <w:rsid w:val="005416BD"/>
    <w:rsid w:val="0054708F"/>
    <w:rsid w:val="00552D57"/>
    <w:rsid w:val="00556D0E"/>
    <w:rsid w:val="00562DB1"/>
    <w:rsid w:val="00585D82"/>
    <w:rsid w:val="005A3188"/>
    <w:rsid w:val="005A3C17"/>
    <w:rsid w:val="005A7179"/>
    <w:rsid w:val="005B25E3"/>
    <w:rsid w:val="005B2F3D"/>
    <w:rsid w:val="005C4198"/>
    <w:rsid w:val="005C7CE3"/>
    <w:rsid w:val="005D02C8"/>
    <w:rsid w:val="005D039B"/>
    <w:rsid w:val="005D1201"/>
    <w:rsid w:val="005E4002"/>
    <w:rsid w:val="005E7872"/>
    <w:rsid w:val="006132F3"/>
    <w:rsid w:val="00621861"/>
    <w:rsid w:val="00631F09"/>
    <w:rsid w:val="006348CD"/>
    <w:rsid w:val="0063632B"/>
    <w:rsid w:val="0064095E"/>
    <w:rsid w:val="00645D75"/>
    <w:rsid w:val="00650083"/>
    <w:rsid w:val="00651E0F"/>
    <w:rsid w:val="00657805"/>
    <w:rsid w:val="006602A1"/>
    <w:rsid w:val="0066155A"/>
    <w:rsid w:val="0066738E"/>
    <w:rsid w:val="0068143A"/>
    <w:rsid w:val="00683EAC"/>
    <w:rsid w:val="00685CF4"/>
    <w:rsid w:val="00686C06"/>
    <w:rsid w:val="006920C9"/>
    <w:rsid w:val="006A735D"/>
    <w:rsid w:val="006B2AA7"/>
    <w:rsid w:val="006C529C"/>
    <w:rsid w:val="006C79DF"/>
    <w:rsid w:val="006D501B"/>
    <w:rsid w:val="006D6DC3"/>
    <w:rsid w:val="006F4576"/>
    <w:rsid w:val="0070142C"/>
    <w:rsid w:val="00701DD9"/>
    <w:rsid w:val="00706549"/>
    <w:rsid w:val="00710A28"/>
    <w:rsid w:val="00710C81"/>
    <w:rsid w:val="0072342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3538F"/>
    <w:rsid w:val="008423F9"/>
    <w:rsid w:val="00842D8E"/>
    <w:rsid w:val="00846518"/>
    <w:rsid w:val="00853C03"/>
    <w:rsid w:val="00863AF1"/>
    <w:rsid w:val="00871F22"/>
    <w:rsid w:val="008877CF"/>
    <w:rsid w:val="00887B0C"/>
    <w:rsid w:val="008A17D9"/>
    <w:rsid w:val="008B2189"/>
    <w:rsid w:val="008D71F7"/>
    <w:rsid w:val="008E164C"/>
    <w:rsid w:val="008E7328"/>
    <w:rsid w:val="00905B7A"/>
    <w:rsid w:val="00913896"/>
    <w:rsid w:val="00913FE2"/>
    <w:rsid w:val="0091557F"/>
    <w:rsid w:val="00916E5F"/>
    <w:rsid w:val="009172D4"/>
    <w:rsid w:val="009235D2"/>
    <w:rsid w:val="0093030C"/>
    <w:rsid w:val="00931894"/>
    <w:rsid w:val="00935E60"/>
    <w:rsid w:val="00943313"/>
    <w:rsid w:val="009460AE"/>
    <w:rsid w:val="009627E9"/>
    <w:rsid w:val="0096303B"/>
    <w:rsid w:val="0098698D"/>
    <w:rsid w:val="009965B6"/>
    <w:rsid w:val="009A4260"/>
    <w:rsid w:val="009B3BE6"/>
    <w:rsid w:val="009C0DC9"/>
    <w:rsid w:val="009D0503"/>
    <w:rsid w:val="009D0B3E"/>
    <w:rsid w:val="009F648C"/>
    <w:rsid w:val="009F7906"/>
    <w:rsid w:val="00A0074A"/>
    <w:rsid w:val="00A01EFB"/>
    <w:rsid w:val="00A14C1E"/>
    <w:rsid w:val="00A152BE"/>
    <w:rsid w:val="00A72BBC"/>
    <w:rsid w:val="00A7675D"/>
    <w:rsid w:val="00A820D7"/>
    <w:rsid w:val="00A87F77"/>
    <w:rsid w:val="00A92F93"/>
    <w:rsid w:val="00A944DA"/>
    <w:rsid w:val="00AA0CC7"/>
    <w:rsid w:val="00AA1A7C"/>
    <w:rsid w:val="00AA5A92"/>
    <w:rsid w:val="00AC1B18"/>
    <w:rsid w:val="00AC1E91"/>
    <w:rsid w:val="00AC2D5F"/>
    <w:rsid w:val="00AC6281"/>
    <w:rsid w:val="00AC6758"/>
    <w:rsid w:val="00AD4244"/>
    <w:rsid w:val="00AE0088"/>
    <w:rsid w:val="00AE45B7"/>
    <w:rsid w:val="00AF6451"/>
    <w:rsid w:val="00B03864"/>
    <w:rsid w:val="00B14FC3"/>
    <w:rsid w:val="00B15F17"/>
    <w:rsid w:val="00B21391"/>
    <w:rsid w:val="00B41CE6"/>
    <w:rsid w:val="00B43558"/>
    <w:rsid w:val="00B44890"/>
    <w:rsid w:val="00B50606"/>
    <w:rsid w:val="00B61E27"/>
    <w:rsid w:val="00B6333A"/>
    <w:rsid w:val="00B71729"/>
    <w:rsid w:val="00B779CF"/>
    <w:rsid w:val="00B9162B"/>
    <w:rsid w:val="00B9723E"/>
    <w:rsid w:val="00B97CC3"/>
    <w:rsid w:val="00BA0E76"/>
    <w:rsid w:val="00BA1659"/>
    <w:rsid w:val="00BA26D2"/>
    <w:rsid w:val="00BB376A"/>
    <w:rsid w:val="00BD2DC6"/>
    <w:rsid w:val="00BE2349"/>
    <w:rsid w:val="00BF1861"/>
    <w:rsid w:val="00BF2646"/>
    <w:rsid w:val="00C01CC2"/>
    <w:rsid w:val="00C01CFA"/>
    <w:rsid w:val="00C12A40"/>
    <w:rsid w:val="00C162B3"/>
    <w:rsid w:val="00C166D1"/>
    <w:rsid w:val="00C1753D"/>
    <w:rsid w:val="00C4014C"/>
    <w:rsid w:val="00C47A8C"/>
    <w:rsid w:val="00C509F8"/>
    <w:rsid w:val="00C52F6F"/>
    <w:rsid w:val="00C65CB4"/>
    <w:rsid w:val="00C70249"/>
    <w:rsid w:val="00C72E4C"/>
    <w:rsid w:val="00C80883"/>
    <w:rsid w:val="00C80921"/>
    <w:rsid w:val="00C86467"/>
    <w:rsid w:val="00C86CC5"/>
    <w:rsid w:val="00C91A38"/>
    <w:rsid w:val="00C9498E"/>
    <w:rsid w:val="00CA1557"/>
    <w:rsid w:val="00CA5454"/>
    <w:rsid w:val="00CB08CB"/>
    <w:rsid w:val="00CB210A"/>
    <w:rsid w:val="00CB3250"/>
    <w:rsid w:val="00CB6FFB"/>
    <w:rsid w:val="00CC6422"/>
    <w:rsid w:val="00CF7AC1"/>
    <w:rsid w:val="00D102E1"/>
    <w:rsid w:val="00D22227"/>
    <w:rsid w:val="00D42D9B"/>
    <w:rsid w:val="00D46773"/>
    <w:rsid w:val="00D637E1"/>
    <w:rsid w:val="00D66D82"/>
    <w:rsid w:val="00D751E3"/>
    <w:rsid w:val="00D76CDC"/>
    <w:rsid w:val="00D8405B"/>
    <w:rsid w:val="00D931FB"/>
    <w:rsid w:val="00D96002"/>
    <w:rsid w:val="00DA0AF3"/>
    <w:rsid w:val="00DB5C97"/>
    <w:rsid w:val="00DD79BB"/>
    <w:rsid w:val="00DE1FCC"/>
    <w:rsid w:val="00E1207A"/>
    <w:rsid w:val="00E15370"/>
    <w:rsid w:val="00E15CFE"/>
    <w:rsid w:val="00E21F8D"/>
    <w:rsid w:val="00E26DE4"/>
    <w:rsid w:val="00E511E0"/>
    <w:rsid w:val="00E53C0F"/>
    <w:rsid w:val="00E605EA"/>
    <w:rsid w:val="00E719D5"/>
    <w:rsid w:val="00E72BF6"/>
    <w:rsid w:val="00E85F7D"/>
    <w:rsid w:val="00E92F68"/>
    <w:rsid w:val="00E94056"/>
    <w:rsid w:val="00EA3D66"/>
    <w:rsid w:val="00EA7FDC"/>
    <w:rsid w:val="00EB2EF1"/>
    <w:rsid w:val="00EB4929"/>
    <w:rsid w:val="00EC77EF"/>
    <w:rsid w:val="00ED31D7"/>
    <w:rsid w:val="00ED3B78"/>
    <w:rsid w:val="00ED6CD0"/>
    <w:rsid w:val="00EE17D3"/>
    <w:rsid w:val="00EE44AC"/>
    <w:rsid w:val="00F03C83"/>
    <w:rsid w:val="00F06403"/>
    <w:rsid w:val="00F134E0"/>
    <w:rsid w:val="00F20FCB"/>
    <w:rsid w:val="00F234EA"/>
    <w:rsid w:val="00F26581"/>
    <w:rsid w:val="00F301AA"/>
    <w:rsid w:val="00F31712"/>
    <w:rsid w:val="00F31AEF"/>
    <w:rsid w:val="00F343DF"/>
    <w:rsid w:val="00F51A15"/>
    <w:rsid w:val="00F54E2C"/>
    <w:rsid w:val="00F61965"/>
    <w:rsid w:val="00F63D28"/>
    <w:rsid w:val="00F67171"/>
    <w:rsid w:val="00F74E3F"/>
    <w:rsid w:val="00F9299A"/>
    <w:rsid w:val="00FB0C45"/>
    <w:rsid w:val="00FD0CAE"/>
    <w:rsid w:val="00FD6803"/>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6D2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F51A15"/>
    <w:pPr>
      <w:spacing w:after="0" w:line="240" w:lineRule="auto"/>
      <w:ind w:left="720"/>
      <w:contextualSpacing/>
    </w:pPr>
    <w:rPr>
      <w:rFonts w:ascii="Times New Roman" w:eastAsia="Times New Roman" w:hAnsi="Times New Roman" w:cs="Times New Roman"/>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7354</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cp:revision>
  <dcterms:created xsi:type="dcterms:W3CDTF">2021-08-17T06:58:00Z</dcterms:created>
  <dcterms:modified xsi:type="dcterms:W3CDTF">2022-02-07T15:53:00Z</dcterms:modified>
</cp:coreProperties>
</file>