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6095"/>
        <w:gridCol w:w="5623"/>
        <w:gridCol w:w="283"/>
      </w:tblGrid>
      <w:tr w:rsidR="001A6EF8" w:rsidRPr="001A6EF8" w14:paraId="3F7996F7" w14:textId="77777777" w:rsidTr="00B17E58">
        <w:tc>
          <w:tcPr>
            <w:tcW w:w="13698" w:type="dxa"/>
            <w:gridSpan w:val="3"/>
          </w:tcPr>
          <w:p w14:paraId="37B387AE" w14:textId="77777777" w:rsidR="001A6EF8" w:rsidRDefault="001A6EF8" w:rsidP="00C151BB">
            <w:pPr>
              <w:rPr>
                <w:b/>
                <w:sz w:val="32"/>
                <w:szCs w:val="32"/>
                <w:lang w:val="nl-BE"/>
              </w:rPr>
            </w:pPr>
            <w:r>
              <w:rPr>
                <w:b/>
                <w:sz w:val="32"/>
                <w:szCs w:val="32"/>
                <w:lang w:val="nl-BE"/>
              </w:rPr>
              <w:t>Hoofdstuk 2. – L</w:t>
            </w:r>
            <w:r w:rsidRPr="001A6EF8">
              <w:rPr>
                <w:b/>
                <w:sz w:val="32"/>
                <w:szCs w:val="32"/>
                <w:lang w:val="nl-BE"/>
              </w:rPr>
              <w:t>eden.</w:t>
            </w:r>
          </w:p>
        </w:tc>
        <w:tc>
          <w:tcPr>
            <w:tcW w:w="283" w:type="dxa"/>
            <w:shd w:val="clear" w:color="auto" w:fill="auto"/>
          </w:tcPr>
          <w:p w14:paraId="7D68FB32" w14:textId="77777777" w:rsidR="001A6EF8" w:rsidRPr="007B17CA" w:rsidRDefault="001A6EF8" w:rsidP="00C151BB">
            <w:pPr>
              <w:jc w:val="center"/>
              <w:rPr>
                <w:rFonts w:ascii="Cambria" w:eastAsia="Calibri" w:hAnsi="Cambria" w:cs="Times New Roman"/>
                <w:b/>
                <w:bCs/>
                <w:color w:val="4F81BD"/>
                <w:sz w:val="32"/>
                <w:szCs w:val="26"/>
                <w:lang w:val="nl-NL" w:eastAsia="fr-FR"/>
              </w:rPr>
            </w:pPr>
          </w:p>
        </w:tc>
      </w:tr>
      <w:tr w:rsidR="001203BA" w:rsidRPr="001A6EF8" w14:paraId="155761D0" w14:textId="77777777" w:rsidTr="00B17E58">
        <w:tc>
          <w:tcPr>
            <w:tcW w:w="1980" w:type="dxa"/>
          </w:tcPr>
          <w:p w14:paraId="36A1477D" w14:textId="77777777" w:rsidR="001203BA" w:rsidRPr="00B07AC9" w:rsidRDefault="001F57D8" w:rsidP="00C151BB">
            <w:pPr>
              <w:rPr>
                <w:b/>
                <w:sz w:val="32"/>
                <w:szCs w:val="32"/>
                <w:lang w:val="nl-BE"/>
              </w:rPr>
            </w:pPr>
            <w:r>
              <w:rPr>
                <w:b/>
                <w:sz w:val="32"/>
                <w:szCs w:val="32"/>
                <w:lang w:val="nl-BE"/>
              </w:rPr>
              <w:t>ARTIKEL 18:3</w:t>
            </w:r>
          </w:p>
        </w:tc>
        <w:tc>
          <w:tcPr>
            <w:tcW w:w="12001" w:type="dxa"/>
            <w:gridSpan w:val="3"/>
            <w:shd w:val="clear" w:color="auto" w:fill="auto"/>
          </w:tcPr>
          <w:p w14:paraId="6440645E" w14:textId="77777777" w:rsidR="001203BA" w:rsidRPr="007B17CA" w:rsidRDefault="001203BA" w:rsidP="00C151BB">
            <w:pPr>
              <w:jc w:val="center"/>
              <w:rPr>
                <w:rFonts w:ascii="Cambria" w:eastAsia="Calibri" w:hAnsi="Cambria" w:cs="Times New Roman"/>
                <w:b/>
                <w:bCs/>
                <w:color w:val="4F81BD"/>
                <w:sz w:val="32"/>
                <w:szCs w:val="26"/>
                <w:lang w:val="nl-NL" w:eastAsia="fr-FR"/>
              </w:rPr>
            </w:pPr>
          </w:p>
        </w:tc>
      </w:tr>
      <w:tr w:rsidR="001A6EF8" w:rsidRPr="001A6EF8" w14:paraId="742AE83D" w14:textId="77777777" w:rsidTr="00B17E58">
        <w:tc>
          <w:tcPr>
            <w:tcW w:w="1980" w:type="dxa"/>
          </w:tcPr>
          <w:p w14:paraId="54501F1C" w14:textId="77777777" w:rsidR="001A6EF8" w:rsidRDefault="001A6EF8" w:rsidP="00C151BB">
            <w:pPr>
              <w:rPr>
                <w:b/>
                <w:sz w:val="32"/>
                <w:szCs w:val="32"/>
                <w:lang w:val="nl-BE"/>
              </w:rPr>
            </w:pPr>
          </w:p>
        </w:tc>
        <w:tc>
          <w:tcPr>
            <w:tcW w:w="12001" w:type="dxa"/>
            <w:gridSpan w:val="3"/>
            <w:shd w:val="clear" w:color="auto" w:fill="auto"/>
          </w:tcPr>
          <w:p w14:paraId="20C65801" w14:textId="77777777" w:rsidR="001A6EF8" w:rsidRPr="007B17CA" w:rsidRDefault="001A6EF8" w:rsidP="00C151BB">
            <w:pPr>
              <w:jc w:val="center"/>
              <w:rPr>
                <w:rFonts w:ascii="Cambria" w:eastAsia="Calibri" w:hAnsi="Cambria" w:cs="Times New Roman"/>
                <w:b/>
                <w:bCs/>
                <w:color w:val="4F81BD"/>
                <w:sz w:val="32"/>
                <w:szCs w:val="26"/>
                <w:lang w:val="nl-NL" w:eastAsia="fr-FR"/>
              </w:rPr>
            </w:pPr>
          </w:p>
        </w:tc>
      </w:tr>
      <w:tr w:rsidR="001F57D8" w:rsidRPr="002B0A6E" w14:paraId="0DA69AA0" w14:textId="77777777" w:rsidTr="00B17E58">
        <w:trPr>
          <w:trHeight w:val="2966"/>
        </w:trPr>
        <w:tc>
          <w:tcPr>
            <w:tcW w:w="1980" w:type="dxa"/>
          </w:tcPr>
          <w:p w14:paraId="2D1C701C" w14:textId="77777777" w:rsidR="001F57D8" w:rsidRDefault="001F57D8" w:rsidP="00C151BB">
            <w:pPr>
              <w:spacing w:after="0" w:line="240" w:lineRule="auto"/>
              <w:rPr>
                <w:rFonts w:cs="Calibri"/>
                <w:lang w:val="nl-BE"/>
              </w:rPr>
            </w:pPr>
            <w:r>
              <w:rPr>
                <w:rFonts w:cs="Calibri"/>
                <w:lang w:val="nl-BE"/>
              </w:rPr>
              <w:t>WVV</w:t>
            </w:r>
          </w:p>
        </w:tc>
        <w:tc>
          <w:tcPr>
            <w:tcW w:w="6095" w:type="dxa"/>
            <w:shd w:val="clear" w:color="auto" w:fill="auto"/>
          </w:tcPr>
          <w:p w14:paraId="3705B711" w14:textId="77777777" w:rsidR="001F57D8" w:rsidRDefault="001F57D8" w:rsidP="00C151BB">
            <w:pPr>
              <w:spacing w:after="0" w:line="240" w:lineRule="auto"/>
              <w:jc w:val="both"/>
              <w:rPr>
                <w:rFonts w:cs="Calibri"/>
                <w:lang w:val="nl-BE"/>
              </w:rPr>
            </w:pPr>
            <w:r w:rsidRPr="00E50B1E">
              <w:rPr>
                <w:rFonts w:cs="Calibri"/>
                <w:lang w:val="nl-BE"/>
              </w:rPr>
              <w:t>Onverminderd de bijzondere bepalingen die op hen toepasselijk zijn, kunnen de nationale openbare kredietinstellingen geen lid van een Europees economisch samenwerkingsverband zijn dan met de toestemming van de nationale toezichthoudende ministers</w:t>
            </w:r>
            <w:r>
              <w:rPr>
                <w:rFonts w:cs="Calibri"/>
                <w:lang w:val="nl-BE"/>
              </w:rPr>
              <w:t>.</w:t>
            </w:r>
          </w:p>
          <w:p w14:paraId="714CD94B" w14:textId="77777777" w:rsidR="001F57D8" w:rsidRDefault="001F57D8" w:rsidP="00C151BB">
            <w:pPr>
              <w:spacing w:after="0" w:line="240" w:lineRule="auto"/>
              <w:jc w:val="both"/>
              <w:rPr>
                <w:rFonts w:cs="Calibri"/>
                <w:lang w:val="nl-BE"/>
              </w:rPr>
            </w:pPr>
          </w:p>
          <w:p w14:paraId="2C391572" w14:textId="77777777" w:rsidR="001F57D8" w:rsidRDefault="001F57D8" w:rsidP="00C151BB">
            <w:pPr>
              <w:spacing w:after="0" w:line="240" w:lineRule="auto"/>
              <w:jc w:val="both"/>
              <w:rPr>
                <w:rFonts w:cs="Calibri"/>
                <w:lang w:val="nl-BE"/>
              </w:rPr>
            </w:pPr>
            <w:r w:rsidRPr="00E50B1E">
              <w:rPr>
                <w:rFonts w:cs="Calibri"/>
                <w:lang w:val="nl-BE"/>
              </w:rPr>
              <w:t>Wanneer een Europees economisch samenwerkingsverband bestaat uit openbare en particuliere kredietinstellingen, mag dat Europees economisch samenwerkingsverband niet afwijken van de bepalingen van de wet van 25 april 2014 op het statuut van en het toezicht op kredietinstellingen en beursvennootschappen</w:t>
            </w:r>
            <w:r>
              <w:rPr>
                <w:rFonts w:cs="Calibri"/>
                <w:lang w:val="nl-BE"/>
              </w:rPr>
              <w:t>.</w:t>
            </w:r>
          </w:p>
        </w:tc>
        <w:tc>
          <w:tcPr>
            <w:tcW w:w="5906" w:type="dxa"/>
            <w:gridSpan w:val="2"/>
            <w:shd w:val="clear" w:color="auto" w:fill="auto"/>
          </w:tcPr>
          <w:p w14:paraId="24F8925A" w14:textId="77777777" w:rsidR="001F57D8" w:rsidRPr="001F57D8" w:rsidRDefault="001F57D8" w:rsidP="00C151BB">
            <w:pPr>
              <w:spacing w:after="0" w:line="240" w:lineRule="auto"/>
              <w:jc w:val="both"/>
              <w:rPr>
                <w:rFonts w:cs="Calibri"/>
                <w:lang w:val="fr-FR"/>
              </w:rPr>
            </w:pPr>
            <w:r w:rsidRPr="00E50B1E">
              <w:rPr>
                <w:rFonts w:cs="Calibri"/>
                <w:lang w:val="fr-BE"/>
              </w:rPr>
              <w:t>Sans préjudice des dispositions particulières qui leur sont applicables, les institutions publiques nationales de crédit ne peuvent être membres d'un groupement européen d'intérêt économique que moyennant l'accord des ministres nationaux de tutelle</w:t>
            </w:r>
            <w:r>
              <w:rPr>
                <w:rFonts w:cs="Calibri"/>
                <w:lang w:val="fr-BE"/>
              </w:rPr>
              <w:t>.</w:t>
            </w:r>
          </w:p>
          <w:p w14:paraId="6F135BA9" w14:textId="77777777" w:rsidR="001F57D8" w:rsidRDefault="001F57D8" w:rsidP="00C151BB">
            <w:pPr>
              <w:spacing w:after="0" w:line="240" w:lineRule="auto"/>
              <w:jc w:val="both"/>
              <w:rPr>
                <w:rFonts w:cs="Calibri"/>
                <w:lang w:val="fr-BE"/>
              </w:rPr>
            </w:pPr>
          </w:p>
          <w:p w14:paraId="54B061D9" w14:textId="77777777" w:rsidR="001F57D8" w:rsidRDefault="001F57D8" w:rsidP="00C151BB">
            <w:pPr>
              <w:spacing w:after="0" w:line="240" w:lineRule="auto"/>
              <w:jc w:val="both"/>
              <w:rPr>
                <w:rFonts w:cs="Calibri"/>
                <w:lang w:val="fr-BE"/>
              </w:rPr>
            </w:pPr>
            <w:r w:rsidRPr="00E50B1E">
              <w:rPr>
                <w:rFonts w:cs="Calibri"/>
                <w:lang w:val="fr-BE"/>
              </w:rPr>
              <w:t xml:space="preserve"> Dans le cas d'un groupement constitué de sociétés publiques ou privées de crédit, ce groupement européen d'intérêt économique ne pourra déroger aux prescriptions de la loi du 25 avril 2014 relative au statut et au contrôle des établissements de crédit et des sociétés de bourse</w:t>
            </w:r>
            <w:r>
              <w:rPr>
                <w:rFonts w:cs="Calibri"/>
                <w:lang w:val="fr-BE"/>
              </w:rPr>
              <w:t>.</w:t>
            </w:r>
          </w:p>
        </w:tc>
      </w:tr>
      <w:tr w:rsidR="002B0A6E" w:rsidRPr="002B0A6E" w14:paraId="29E022B8" w14:textId="77777777" w:rsidTr="002B0A6E">
        <w:trPr>
          <w:trHeight w:val="353"/>
        </w:trPr>
        <w:tc>
          <w:tcPr>
            <w:tcW w:w="1980" w:type="dxa"/>
          </w:tcPr>
          <w:p w14:paraId="02AB8B7D" w14:textId="361C7B42" w:rsidR="002B0A6E" w:rsidRPr="002B0A6E" w:rsidRDefault="002B0A6E" w:rsidP="00C151BB">
            <w:pPr>
              <w:spacing w:after="0" w:line="240" w:lineRule="auto"/>
              <w:rPr>
                <w:rFonts w:cs="Calibri"/>
                <w:lang w:val="fr-BE"/>
              </w:rPr>
            </w:pPr>
            <w:proofErr w:type="spellStart"/>
            <w:r w:rsidRPr="00EC3FFF">
              <w:t>Ontwerp</w:t>
            </w:r>
            <w:proofErr w:type="spellEnd"/>
          </w:p>
        </w:tc>
        <w:tc>
          <w:tcPr>
            <w:tcW w:w="6095" w:type="dxa"/>
            <w:shd w:val="clear" w:color="auto" w:fill="auto"/>
          </w:tcPr>
          <w:p w14:paraId="0A12E280" w14:textId="7DB15369" w:rsidR="002B0A6E" w:rsidRPr="002B0A6E" w:rsidRDefault="002B0A6E" w:rsidP="00C151BB">
            <w:pPr>
              <w:spacing w:after="0" w:line="240" w:lineRule="auto"/>
              <w:jc w:val="both"/>
              <w:rPr>
                <w:rFonts w:cs="Calibri"/>
                <w:lang w:val="fr-BE"/>
              </w:rPr>
            </w:pPr>
            <w:proofErr w:type="spellStart"/>
            <w:r w:rsidRPr="00EC3FFF">
              <w:t>Geen</w:t>
            </w:r>
            <w:proofErr w:type="spellEnd"/>
            <w:r w:rsidRPr="00EC3FFF">
              <w:t xml:space="preserve"> </w:t>
            </w:r>
            <w:proofErr w:type="spellStart"/>
            <w:r w:rsidRPr="00EC3FFF">
              <w:t>artikel</w:t>
            </w:r>
            <w:proofErr w:type="spellEnd"/>
            <w:r>
              <w:t>.</w:t>
            </w:r>
          </w:p>
        </w:tc>
        <w:tc>
          <w:tcPr>
            <w:tcW w:w="5906" w:type="dxa"/>
            <w:gridSpan w:val="2"/>
            <w:shd w:val="clear" w:color="auto" w:fill="auto"/>
          </w:tcPr>
          <w:p w14:paraId="118802CD" w14:textId="16D9EB71" w:rsidR="002B0A6E" w:rsidRPr="00E50B1E" w:rsidRDefault="002B0A6E" w:rsidP="00C151BB">
            <w:pPr>
              <w:spacing w:after="0" w:line="240" w:lineRule="auto"/>
              <w:jc w:val="both"/>
              <w:rPr>
                <w:rFonts w:cs="Calibri"/>
                <w:lang w:val="fr-BE"/>
              </w:rPr>
            </w:pPr>
            <w:r w:rsidRPr="00EC3FFF">
              <w:t xml:space="preserve">Pas </w:t>
            </w:r>
            <w:proofErr w:type="spellStart"/>
            <w:r w:rsidRPr="00EC3FFF">
              <w:t>d’article</w:t>
            </w:r>
            <w:proofErr w:type="spellEnd"/>
            <w:r>
              <w:t>.</w:t>
            </w:r>
          </w:p>
        </w:tc>
      </w:tr>
      <w:tr w:rsidR="002B0A6E" w:rsidRPr="00B51824" w14:paraId="5CAFD2F4" w14:textId="77777777" w:rsidTr="00B17E58">
        <w:trPr>
          <w:trHeight w:val="418"/>
        </w:trPr>
        <w:tc>
          <w:tcPr>
            <w:tcW w:w="1980" w:type="dxa"/>
          </w:tcPr>
          <w:p w14:paraId="4B86A8F7" w14:textId="77777777" w:rsidR="002B0A6E" w:rsidRPr="00B51824" w:rsidRDefault="002B0A6E" w:rsidP="00C151BB">
            <w:pPr>
              <w:spacing w:after="0" w:line="240" w:lineRule="auto"/>
              <w:rPr>
                <w:rFonts w:cs="Calibri"/>
                <w:lang w:val="fr-FR"/>
              </w:rPr>
            </w:pPr>
            <w:proofErr w:type="spellStart"/>
            <w:r>
              <w:rPr>
                <w:rFonts w:cs="Calibri"/>
                <w:lang w:val="fr-FR"/>
              </w:rPr>
              <w:t>Voorontwerp</w:t>
            </w:r>
            <w:proofErr w:type="spellEnd"/>
          </w:p>
        </w:tc>
        <w:tc>
          <w:tcPr>
            <w:tcW w:w="6095" w:type="dxa"/>
            <w:shd w:val="clear" w:color="auto" w:fill="auto"/>
          </w:tcPr>
          <w:p w14:paraId="080CF875" w14:textId="77777777" w:rsidR="002B0A6E" w:rsidRPr="00B51824" w:rsidRDefault="002B0A6E" w:rsidP="00C151BB">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06" w:type="dxa"/>
            <w:gridSpan w:val="2"/>
            <w:shd w:val="clear" w:color="auto" w:fill="auto"/>
          </w:tcPr>
          <w:p w14:paraId="74A4431E" w14:textId="77777777" w:rsidR="002B0A6E" w:rsidRPr="00E50B1E" w:rsidRDefault="002B0A6E" w:rsidP="00C151BB">
            <w:pPr>
              <w:spacing w:after="0" w:line="240" w:lineRule="auto"/>
              <w:jc w:val="both"/>
              <w:rPr>
                <w:rFonts w:cs="Calibri"/>
                <w:lang w:val="fr-BE"/>
              </w:rPr>
            </w:pPr>
            <w:r>
              <w:rPr>
                <w:rFonts w:cs="Calibri"/>
                <w:lang w:val="fr-BE"/>
              </w:rPr>
              <w:t>Pas d’article.</w:t>
            </w:r>
          </w:p>
        </w:tc>
      </w:tr>
      <w:tr w:rsidR="002B0A6E" w:rsidRPr="002B0A6E" w14:paraId="76225430" w14:textId="77777777" w:rsidTr="00B17E58">
        <w:trPr>
          <w:trHeight w:val="416"/>
        </w:trPr>
        <w:tc>
          <w:tcPr>
            <w:tcW w:w="1980" w:type="dxa"/>
          </w:tcPr>
          <w:p w14:paraId="12E62060" w14:textId="77777777" w:rsidR="002B0A6E" w:rsidRPr="00EC3FFF" w:rsidRDefault="002B0A6E" w:rsidP="00C151BB">
            <w:pPr>
              <w:spacing w:after="0" w:line="240" w:lineRule="auto"/>
              <w:jc w:val="both"/>
            </w:pPr>
            <w:bookmarkStart w:id="0" w:name="_GoBack"/>
            <w:bookmarkEnd w:id="0"/>
            <w:proofErr w:type="spellStart"/>
            <w:r>
              <w:t>MvT</w:t>
            </w:r>
            <w:proofErr w:type="spellEnd"/>
          </w:p>
        </w:tc>
        <w:tc>
          <w:tcPr>
            <w:tcW w:w="6095" w:type="dxa"/>
            <w:shd w:val="clear" w:color="auto" w:fill="auto"/>
          </w:tcPr>
          <w:p w14:paraId="2174CD35" w14:textId="77777777" w:rsidR="002B0A6E" w:rsidRPr="001A6EF8" w:rsidRDefault="002B0A6E" w:rsidP="00C151BB">
            <w:pPr>
              <w:spacing w:after="0" w:line="240" w:lineRule="auto"/>
              <w:jc w:val="both"/>
              <w:rPr>
                <w:lang w:val="nl-BE"/>
              </w:rPr>
            </w:pPr>
            <w:r w:rsidRPr="001A6EF8">
              <w:rPr>
                <w:lang w:val="nl-BE"/>
              </w:rPr>
              <w:t>Deze bepaling herneemt in § 1 artikel 3 EESV-wet, en in § 2 artikel 2 EESV-wet en artikel 869 van het Wetboek van vennootschappen.</w:t>
            </w:r>
          </w:p>
        </w:tc>
        <w:tc>
          <w:tcPr>
            <w:tcW w:w="5906" w:type="dxa"/>
            <w:gridSpan w:val="2"/>
            <w:shd w:val="clear" w:color="auto" w:fill="auto"/>
          </w:tcPr>
          <w:p w14:paraId="18F124ED" w14:textId="77777777" w:rsidR="002B0A6E" w:rsidRPr="001A6EF8" w:rsidRDefault="002B0A6E" w:rsidP="00C151BB">
            <w:pPr>
              <w:spacing w:after="0" w:line="240" w:lineRule="auto"/>
              <w:jc w:val="both"/>
              <w:rPr>
                <w:lang w:val="fr-FR"/>
              </w:rPr>
            </w:pPr>
            <w:r w:rsidRPr="001A6EF8">
              <w:rPr>
                <w:lang w:val="fr-FR"/>
              </w:rPr>
              <w:t>Cette disposition reprend au §1 l’article 3 de la loi GEIE, et au § 2 l’article 2 de la loi GEIE et l’article 869 du Code des sociétés.</w:t>
            </w:r>
          </w:p>
        </w:tc>
      </w:tr>
      <w:tr w:rsidR="002B0A6E" w:rsidRPr="001A6EF8" w14:paraId="4B235009" w14:textId="77777777" w:rsidTr="00B17E58">
        <w:trPr>
          <w:trHeight w:val="416"/>
        </w:trPr>
        <w:tc>
          <w:tcPr>
            <w:tcW w:w="1980" w:type="dxa"/>
          </w:tcPr>
          <w:p w14:paraId="1E04A934" w14:textId="77777777" w:rsidR="002B0A6E" w:rsidRDefault="002B0A6E" w:rsidP="00C151BB">
            <w:pPr>
              <w:spacing w:after="0" w:line="240" w:lineRule="auto"/>
              <w:jc w:val="both"/>
            </w:pPr>
            <w:proofErr w:type="spellStart"/>
            <w:r>
              <w:t>RvSt</w:t>
            </w:r>
            <w:proofErr w:type="spellEnd"/>
          </w:p>
        </w:tc>
        <w:tc>
          <w:tcPr>
            <w:tcW w:w="6095" w:type="dxa"/>
            <w:shd w:val="clear" w:color="auto" w:fill="auto"/>
          </w:tcPr>
          <w:p w14:paraId="33DBFBCB" w14:textId="77777777" w:rsidR="002B0A6E" w:rsidRPr="001A6EF8" w:rsidRDefault="002B0A6E" w:rsidP="00C151BB">
            <w:pPr>
              <w:spacing w:after="0" w:line="240" w:lineRule="auto"/>
              <w:jc w:val="both"/>
              <w:rPr>
                <w:lang w:val="nl-BE"/>
              </w:rPr>
            </w:pPr>
            <w:r>
              <w:rPr>
                <w:lang w:val="nl-BE"/>
              </w:rPr>
              <w:t>Geen opmerkingen.</w:t>
            </w:r>
          </w:p>
        </w:tc>
        <w:tc>
          <w:tcPr>
            <w:tcW w:w="5906" w:type="dxa"/>
            <w:gridSpan w:val="2"/>
            <w:shd w:val="clear" w:color="auto" w:fill="auto"/>
          </w:tcPr>
          <w:p w14:paraId="195774AA" w14:textId="77777777" w:rsidR="002B0A6E" w:rsidRPr="001A6EF8" w:rsidRDefault="002B0A6E" w:rsidP="00C151BB">
            <w:pPr>
              <w:spacing w:after="0" w:line="240" w:lineRule="auto"/>
              <w:jc w:val="both"/>
              <w:rPr>
                <w:lang w:val="fr-FR"/>
              </w:rPr>
            </w:pPr>
            <w:r>
              <w:rPr>
                <w:lang w:val="fr-FR"/>
              </w:rPr>
              <w:t>Pas de remarques.</w:t>
            </w:r>
          </w:p>
        </w:tc>
      </w:tr>
      <w:tr w:rsidR="002B0A6E" w:rsidRPr="00B17E58" w14:paraId="567FCFF8" w14:textId="77777777" w:rsidTr="00B17E58">
        <w:trPr>
          <w:trHeight w:val="416"/>
        </w:trPr>
        <w:tc>
          <w:tcPr>
            <w:tcW w:w="1980" w:type="dxa"/>
          </w:tcPr>
          <w:p w14:paraId="24C23E8A" w14:textId="77777777" w:rsidR="002B0A6E" w:rsidRDefault="002B0A6E" w:rsidP="00C151BB">
            <w:pPr>
              <w:spacing w:after="0" w:line="240" w:lineRule="auto"/>
              <w:jc w:val="both"/>
            </w:pPr>
            <w:proofErr w:type="spellStart"/>
            <w:r>
              <w:t>RvSt</w:t>
            </w:r>
            <w:proofErr w:type="spellEnd"/>
            <w:r>
              <w:t xml:space="preserve"> 2</w:t>
            </w:r>
          </w:p>
        </w:tc>
        <w:tc>
          <w:tcPr>
            <w:tcW w:w="6095" w:type="dxa"/>
            <w:shd w:val="clear" w:color="auto" w:fill="auto"/>
          </w:tcPr>
          <w:p w14:paraId="4AE602BB" w14:textId="77777777" w:rsidR="002B0A6E" w:rsidRPr="001A6EF8" w:rsidRDefault="002B0A6E" w:rsidP="00C151BB">
            <w:pPr>
              <w:spacing w:after="0" w:line="240" w:lineRule="auto"/>
              <w:jc w:val="both"/>
              <w:rPr>
                <w:lang w:val="nl-BE"/>
              </w:rPr>
            </w:pPr>
            <w:r w:rsidRPr="001A6EF8">
              <w:rPr>
                <w:lang w:val="nl-BE"/>
              </w:rPr>
              <w:t>Het is niet duidelijk wat juist bedoeld wordt met de woorden “nationale openbare kredietinstellingen”.</w:t>
            </w:r>
          </w:p>
          <w:p w14:paraId="7503AE86" w14:textId="77777777" w:rsidR="002B0A6E" w:rsidRPr="001A6EF8" w:rsidRDefault="002B0A6E" w:rsidP="00C151BB">
            <w:pPr>
              <w:spacing w:after="0" w:line="240" w:lineRule="auto"/>
              <w:jc w:val="both"/>
              <w:rPr>
                <w:lang w:val="nl-BE"/>
              </w:rPr>
            </w:pPr>
            <w:r w:rsidRPr="001A6EF8">
              <w:rPr>
                <w:lang w:val="nl-BE"/>
              </w:rPr>
              <w:t>Een mogelijke interpretatie zou zijn dat de wetgever verwijst naar de lijst van de instellingen die onder het Paritair Comité voor de openbare kredietinstellingen (nr. 325) vallen, zoals ze vermeld wordt in artikel 1 van het koninklijk besluit van</w:t>
            </w:r>
          </w:p>
          <w:p w14:paraId="294B4EC8" w14:textId="77777777" w:rsidR="002B0A6E" w:rsidRPr="001A6EF8" w:rsidRDefault="002B0A6E" w:rsidP="00C151BB">
            <w:pPr>
              <w:spacing w:after="0" w:line="240" w:lineRule="auto"/>
              <w:jc w:val="both"/>
              <w:rPr>
                <w:lang w:val="nl-BE"/>
              </w:rPr>
            </w:pPr>
            <w:r w:rsidRPr="001A6EF8">
              <w:rPr>
                <w:lang w:val="nl-BE"/>
              </w:rPr>
              <w:t xml:space="preserve">6 juni 1985 “houdende oprichting van het Paritair Comité voor de openbare kredietinstellingen en tot vaststelling van zijn bevoegdheid en zijn aantal leden”. Een dergelijke interpretatie, die </w:t>
            </w:r>
            <w:r w:rsidRPr="001A6EF8">
              <w:rPr>
                <w:lang w:val="nl-BE"/>
              </w:rPr>
              <w:lastRenderedPageBreak/>
              <w:t>uitgaat van een sociaalrechtelijke bepaling ter verduidelijking van een vennootschapsrechtelijke tekst, is evenwel des te minder wenselijk, daar een aantal van de instellingen in kwestie geen kredietinstellingen zijn.</w:t>
            </w:r>
          </w:p>
          <w:p w14:paraId="491A0B20" w14:textId="77777777" w:rsidR="002B0A6E" w:rsidRPr="001A6EF8" w:rsidRDefault="002B0A6E" w:rsidP="00C151BB">
            <w:pPr>
              <w:spacing w:after="0" w:line="240" w:lineRule="auto"/>
              <w:jc w:val="both"/>
              <w:rPr>
                <w:lang w:val="nl-BE"/>
              </w:rPr>
            </w:pPr>
            <w:r w:rsidRPr="001A6EF8">
              <w:rPr>
                <w:lang w:val="nl-BE"/>
              </w:rPr>
              <w:t>Een andere mogelijkheid zou kunnen zijn dat de wetgever wil verwijzen naar de kredietinstellingen bedoeld in de wet van 25 april 2014 die rechtstreeks of onrechtstreeks onder het toezicht van een Belgische federale overheidsinstantie staan.</w:t>
            </w:r>
          </w:p>
          <w:p w14:paraId="07299482" w14:textId="77777777" w:rsidR="002B0A6E" w:rsidRDefault="002B0A6E" w:rsidP="00C151BB">
            <w:pPr>
              <w:spacing w:after="0" w:line="240" w:lineRule="auto"/>
              <w:jc w:val="both"/>
              <w:rPr>
                <w:lang w:val="nl-BE"/>
              </w:rPr>
            </w:pPr>
            <w:r w:rsidRPr="001A6EF8">
              <w:rPr>
                <w:lang w:val="nl-BE"/>
              </w:rPr>
              <w:t>Het dispositief moet op dat punt verduidelijkt worden.</w:t>
            </w:r>
          </w:p>
        </w:tc>
        <w:tc>
          <w:tcPr>
            <w:tcW w:w="5906" w:type="dxa"/>
            <w:gridSpan w:val="2"/>
            <w:shd w:val="clear" w:color="auto" w:fill="auto"/>
          </w:tcPr>
          <w:p w14:paraId="6132F672" w14:textId="77777777" w:rsidR="002B0A6E" w:rsidRPr="001A6EF8" w:rsidRDefault="002B0A6E" w:rsidP="00C151BB">
            <w:pPr>
              <w:spacing w:after="0" w:line="240" w:lineRule="auto"/>
              <w:jc w:val="both"/>
              <w:rPr>
                <w:lang w:val="fr-FR"/>
              </w:rPr>
            </w:pPr>
            <w:r w:rsidRPr="001A6EF8">
              <w:rPr>
                <w:lang w:val="fr-FR"/>
              </w:rPr>
              <w:lastRenderedPageBreak/>
              <w:t>Ce que visent précisément les termes « institutions publiques nationales de crédit » n’est pas clair.</w:t>
            </w:r>
          </w:p>
          <w:p w14:paraId="7B256E98" w14:textId="77777777" w:rsidR="002B0A6E" w:rsidRPr="001A6EF8" w:rsidRDefault="002B0A6E" w:rsidP="00C151BB">
            <w:pPr>
              <w:spacing w:after="0" w:line="240" w:lineRule="auto"/>
              <w:jc w:val="both"/>
              <w:rPr>
                <w:lang w:val="fr-FR"/>
              </w:rPr>
            </w:pPr>
            <w:r w:rsidRPr="001A6EF8">
              <w:rPr>
                <w:lang w:val="fr-FR"/>
              </w:rPr>
              <w:t xml:space="preserve">Une interprétation possible serait que le législateur se réfère à la liste des institutions relevant de la Commission paritaire pour les institutions publiques de crédit (n° 325), telle qu’elle figure à l’article 1er de l’arrêté royal du 6 juin 1985 ‘instituant la Commission paritaire pour les établissements publics de crédit et fixant sa compétence et le nombre de ses membres’. Une telle interprétation, qui se base sur une disposition relevant du droit </w:t>
            </w:r>
            <w:r w:rsidRPr="001A6EF8">
              <w:rPr>
                <w:lang w:val="fr-FR"/>
              </w:rPr>
              <w:lastRenderedPageBreak/>
              <w:t>social pour préciser un texte relevant du droit des sociétés, n’est cependant pas indiquée, d’autant moins que certaines des institutions en question ne sont pas des établissements de crédit.</w:t>
            </w:r>
          </w:p>
          <w:p w14:paraId="6610AEBC" w14:textId="77777777" w:rsidR="002B0A6E" w:rsidRPr="001A6EF8" w:rsidRDefault="002B0A6E" w:rsidP="00C151BB">
            <w:pPr>
              <w:spacing w:after="0" w:line="240" w:lineRule="auto"/>
              <w:jc w:val="both"/>
              <w:rPr>
                <w:lang w:val="fr-FR"/>
              </w:rPr>
            </w:pPr>
            <w:r w:rsidRPr="001A6EF8">
              <w:rPr>
                <w:lang w:val="fr-FR"/>
              </w:rPr>
              <w:t>Alternativement, il se pourrait que le législateur entende viser les établissements de crédit au sens de la loi du 25 avril 2014 qui sont contrôlés directement ou indirectement par une autorité publique fédérale belge.</w:t>
            </w:r>
          </w:p>
          <w:p w14:paraId="290C4355" w14:textId="77777777" w:rsidR="002B0A6E" w:rsidRPr="001A6EF8" w:rsidRDefault="002B0A6E" w:rsidP="00C151BB">
            <w:pPr>
              <w:spacing w:after="0" w:line="240" w:lineRule="auto"/>
              <w:jc w:val="both"/>
              <w:rPr>
                <w:lang w:val="fr-FR"/>
              </w:rPr>
            </w:pPr>
            <w:r w:rsidRPr="001A6EF8">
              <w:rPr>
                <w:lang w:val="fr-FR"/>
              </w:rPr>
              <w:t xml:space="preserve">Le dispositif sera </w:t>
            </w:r>
            <w:r>
              <w:rPr>
                <w:lang w:val="fr-FR"/>
              </w:rPr>
              <w:t>précisé sur ce point.</w:t>
            </w:r>
          </w:p>
        </w:tc>
      </w:tr>
    </w:tbl>
    <w:p w14:paraId="005A50DD" w14:textId="77777777" w:rsidR="001203BA" w:rsidRPr="001A6EF8" w:rsidRDefault="001203BA" w:rsidP="001203BA">
      <w:pPr>
        <w:rPr>
          <w:lang w:val="fr-FR"/>
        </w:rPr>
      </w:pPr>
    </w:p>
    <w:p w14:paraId="23DCD3C0" w14:textId="77777777" w:rsidR="00A820D7" w:rsidRPr="001A6EF8" w:rsidRDefault="00A820D7">
      <w:pPr>
        <w:rPr>
          <w:lang w:val="fr-FR"/>
        </w:rPr>
      </w:pPr>
    </w:p>
    <w:sectPr w:rsidR="00A820D7" w:rsidRPr="001A6EF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64B"/>
    <w:multiLevelType w:val="hybridMultilevel"/>
    <w:tmpl w:val="36109672"/>
    <w:lvl w:ilvl="0" w:tplc="782E0620">
      <w:start w:val="1"/>
      <w:numFmt w:val="decimal"/>
      <w:pStyle w:val="151NL"/>
      <w:lvlText w:val="Art. 15:%1."/>
      <w:lvlJc w:val="left"/>
      <w:pPr>
        <w:ind w:left="2629" w:hanging="360"/>
      </w:pPr>
      <w:rPr>
        <w:rFonts w:ascii="Palatino Linotype" w:hAnsi="Palatino Linotype" w:hint="default"/>
        <w:b w:val="0"/>
        <w:i w:val="0"/>
        <w:color w:val="0000FF"/>
        <w:sz w:val="20"/>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93AAC"/>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A6EF8"/>
    <w:rsid w:val="001B29CB"/>
    <w:rsid w:val="001C36B7"/>
    <w:rsid w:val="001D27E0"/>
    <w:rsid w:val="001D5AD6"/>
    <w:rsid w:val="001F57D8"/>
    <w:rsid w:val="00210C4A"/>
    <w:rsid w:val="00210D98"/>
    <w:rsid w:val="0021135B"/>
    <w:rsid w:val="00213D83"/>
    <w:rsid w:val="00214ADA"/>
    <w:rsid w:val="00216A35"/>
    <w:rsid w:val="002337A0"/>
    <w:rsid w:val="00250946"/>
    <w:rsid w:val="00251BBF"/>
    <w:rsid w:val="00253930"/>
    <w:rsid w:val="002562D5"/>
    <w:rsid w:val="00262FAA"/>
    <w:rsid w:val="0026584A"/>
    <w:rsid w:val="00265C16"/>
    <w:rsid w:val="00266349"/>
    <w:rsid w:val="00267866"/>
    <w:rsid w:val="00271C8A"/>
    <w:rsid w:val="00274C37"/>
    <w:rsid w:val="00276531"/>
    <w:rsid w:val="002820F5"/>
    <w:rsid w:val="00283177"/>
    <w:rsid w:val="002912FD"/>
    <w:rsid w:val="0029665A"/>
    <w:rsid w:val="00297FF6"/>
    <w:rsid w:val="002A12C9"/>
    <w:rsid w:val="002A4557"/>
    <w:rsid w:val="002A5831"/>
    <w:rsid w:val="002B0A6E"/>
    <w:rsid w:val="002B14C4"/>
    <w:rsid w:val="002B3F2F"/>
    <w:rsid w:val="002C622E"/>
    <w:rsid w:val="002D76A6"/>
    <w:rsid w:val="002E665B"/>
    <w:rsid w:val="002F7950"/>
    <w:rsid w:val="00300B84"/>
    <w:rsid w:val="00302A76"/>
    <w:rsid w:val="00306533"/>
    <w:rsid w:val="00306738"/>
    <w:rsid w:val="003163DB"/>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744D"/>
    <w:rsid w:val="003E1F7C"/>
    <w:rsid w:val="003E76C0"/>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188"/>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48CD"/>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2342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17E58"/>
    <w:rsid w:val="00B21391"/>
    <w:rsid w:val="00B41CE6"/>
    <w:rsid w:val="00B43558"/>
    <w:rsid w:val="00B44890"/>
    <w:rsid w:val="00B50606"/>
    <w:rsid w:val="00B51824"/>
    <w:rsid w:val="00B61E27"/>
    <w:rsid w:val="00B6333A"/>
    <w:rsid w:val="00B639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51BB"/>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A1557"/>
    <w:rsid w:val="00CA5454"/>
    <w:rsid w:val="00CB08CB"/>
    <w:rsid w:val="00CB210A"/>
    <w:rsid w:val="00CB3250"/>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207A"/>
    <w:rsid w:val="00E15370"/>
    <w:rsid w:val="00E15CFE"/>
    <w:rsid w:val="00E21F8D"/>
    <w:rsid w:val="00E26DE4"/>
    <w:rsid w:val="00E511E0"/>
    <w:rsid w:val="00E53C0F"/>
    <w:rsid w:val="00E719D5"/>
    <w:rsid w:val="00E72BF6"/>
    <w:rsid w:val="00E85F7D"/>
    <w:rsid w:val="00E92F68"/>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7AD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 w:type="paragraph" w:customStyle="1" w:styleId="151NL">
    <w:name w:val="15:1 NL"/>
    <w:basedOn w:val="Standaard"/>
    <w:link w:val="151NLChar"/>
    <w:qFormat/>
    <w:rsid w:val="001F57D8"/>
    <w:pPr>
      <w:numPr>
        <w:numId w:val="1"/>
      </w:numPr>
      <w:tabs>
        <w:tab w:val="left" w:pos="992"/>
      </w:tabs>
      <w:spacing w:after="0" w:line="240" w:lineRule="auto"/>
      <w:ind w:left="0" w:firstLine="0"/>
      <w:jc w:val="both"/>
    </w:pPr>
    <w:rPr>
      <w:rFonts w:ascii="Palatino Linotype" w:eastAsia="Times New Roman" w:hAnsi="Palatino Linotype" w:cs="Times New Roman"/>
      <w:sz w:val="20"/>
      <w:szCs w:val="20"/>
      <w:lang w:val="fr-FR"/>
    </w:rPr>
  </w:style>
  <w:style w:type="character" w:customStyle="1" w:styleId="151NLChar">
    <w:name w:val="15:1 NL Char"/>
    <w:basedOn w:val="Standaardalinea-lettertype"/>
    <w:link w:val="151NL"/>
    <w:rsid w:val="001F57D8"/>
    <w:rPr>
      <w:rFonts w:ascii="Palatino Linotype" w:eastAsia="Times New Roman" w:hAnsi="Palatino Linotype"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3050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dcterms:created xsi:type="dcterms:W3CDTF">2021-08-17T06:59:00Z</dcterms:created>
  <dcterms:modified xsi:type="dcterms:W3CDTF">2022-02-07T15:56:00Z</dcterms:modified>
</cp:coreProperties>
</file>