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6047"/>
        <w:gridCol w:w="5812"/>
      </w:tblGrid>
      <w:tr w:rsidR="001203BA" w:rsidRPr="003545A5" w14:paraId="54037862" w14:textId="77777777" w:rsidTr="00D121E5">
        <w:tc>
          <w:tcPr>
            <w:tcW w:w="2122" w:type="dxa"/>
          </w:tcPr>
          <w:p w14:paraId="05A6DA7A" w14:textId="77777777" w:rsidR="001203BA" w:rsidRPr="00B07AC9" w:rsidRDefault="000D6A2A" w:rsidP="00D51D83">
            <w:pPr>
              <w:rPr>
                <w:b/>
                <w:sz w:val="32"/>
                <w:szCs w:val="32"/>
                <w:lang w:val="nl-BE"/>
              </w:rPr>
            </w:pPr>
            <w:r>
              <w:rPr>
                <w:b/>
                <w:sz w:val="32"/>
                <w:szCs w:val="32"/>
                <w:lang w:val="nl-BE"/>
              </w:rPr>
              <w:t>ARTIKEL 18:4</w:t>
            </w:r>
          </w:p>
        </w:tc>
        <w:tc>
          <w:tcPr>
            <w:tcW w:w="11859" w:type="dxa"/>
            <w:gridSpan w:val="2"/>
            <w:shd w:val="clear" w:color="auto" w:fill="auto"/>
          </w:tcPr>
          <w:p w14:paraId="6D183057" w14:textId="77777777" w:rsidR="003E76C0" w:rsidRPr="003E76C0" w:rsidRDefault="003E76C0" w:rsidP="00D51D83">
            <w:pPr>
              <w:pStyle w:val="151NL"/>
              <w:numPr>
                <w:ilvl w:val="0"/>
                <w:numId w:val="0"/>
              </w:numPr>
              <w:spacing w:after="200" w:line="276" w:lineRule="auto"/>
              <w:jc w:val="center"/>
              <w:rPr>
                <w:rFonts w:ascii="Cambria" w:eastAsia="Calibri" w:hAnsi="Cambria"/>
                <w:b/>
                <w:bCs/>
                <w:iCs/>
                <w:color w:val="4F81BD"/>
                <w:sz w:val="32"/>
                <w:szCs w:val="26"/>
                <w:lang w:val="nl-NL" w:eastAsia="fr-FR"/>
              </w:rPr>
            </w:pPr>
          </w:p>
        </w:tc>
      </w:tr>
      <w:tr w:rsidR="001203BA" w:rsidRPr="003545A5" w14:paraId="0C5B60CB" w14:textId="77777777" w:rsidTr="00D121E5">
        <w:tc>
          <w:tcPr>
            <w:tcW w:w="2122" w:type="dxa"/>
          </w:tcPr>
          <w:p w14:paraId="242E2E55" w14:textId="77777777" w:rsidR="001203BA" w:rsidRPr="00B07AC9" w:rsidRDefault="001203BA" w:rsidP="00D51D83">
            <w:pPr>
              <w:rPr>
                <w:b/>
                <w:sz w:val="32"/>
                <w:szCs w:val="32"/>
                <w:lang w:val="nl-BE"/>
              </w:rPr>
            </w:pPr>
          </w:p>
        </w:tc>
        <w:tc>
          <w:tcPr>
            <w:tcW w:w="11859" w:type="dxa"/>
            <w:gridSpan w:val="2"/>
            <w:shd w:val="clear" w:color="auto" w:fill="auto"/>
          </w:tcPr>
          <w:p w14:paraId="1AB4277B" w14:textId="77777777" w:rsidR="001203BA" w:rsidRPr="007B17CA" w:rsidRDefault="001203BA" w:rsidP="00D51D83">
            <w:pPr>
              <w:jc w:val="center"/>
              <w:rPr>
                <w:rFonts w:ascii="Cambria" w:eastAsia="Calibri" w:hAnsi="Cambria" w:cs="Times New Roman"/>
                <w:b/>
                <w:bCs/>
                <w:color w:val="4F81BD"/>
                <w:sz w:val="32"/>
                <w:szCs w:val="26"/>
                <w:lang w:val="nl-NL" w:eastAsia="fr-FR"/>
              </w:rPr>
            </w:pPr>
          </w:p>
        </w:tc>
      </w:tr>
      <w:tr w:rsidR="000D6A2A" w:rsidRPr="00421F3F" w14:paraId="4D2636D9" w14:textId="77777777" w:rsidTr="00D121E5">
        <w:trPr>
          <w:trHeight w:val="1086"/>
        </w:trPr>
        <w:tc>
          <w:tcPr>
            <w:tcW w:w="2122" w:type="dxa"/>
          </w:tcPr>
          <w:p w14:paraId="289D0DAF" w14:textId="77777777" w:rsidR="000D6A2A" w:rsidRDefault="000D6A2A" w:rsidP="00D51D83">
            <w:pPr>
              <w:spacing w:after="0" w:line="240" w:lineRule="auto"/>
              <w:rPr>
                <w:rFonts w:cs="Calibri"/>
                <w:lang w:val="nl-BE"/>
              </w:rPr>
            </w:pPr>
            <w:r>
              <w:rPr>
                <w:rFonts w:cs="Calibri"/>
                <w:lang w:val="nl-BE"/>
              </w:rPr>
              <w:t>WVV</w:t>
            </w:r>
          </w:p>
        </w:tc>
        <w:tc>
          <w:tcPr>
            <w:tcW w:w="6047" w:type="dxa"/>
            <w:shd w:val="clear" w:color="auto" w:fill="auto"/>
          </w:tcPr>
          <w:p w14:paraId="2C22C66C" w14:textId="77777777" w:rsidR="000D6A2A" w:rsidRDefault="000D6A2A" w:rsidP="00D51D83">
            <w:pPr>
              <w:spacing w:after="0" w:line="240" w:lineRule="auto"/>
              <w:jc w:val="both"/>
              <w:rPr>
                <w:rFonts w:cs="Calibri"/>
                <w:lang w:val="nl-BE"/>
              </w:rPr>
            </w:pPr>
            <w:r w:rsidRPr="00E50B1E">
              <w:rPr>
                <w:rFonts w:cs="Calibri"/>
                <w:lang w:val="nl-BE"/>
              </w:rPr>
              <w:t>Een lid van een Europees economisch samenwerkingsverband houdt op van dat Europees economisch samenwerkingsverband deel uit te maken vanaf de dag dat hij failliet is verklaard door een definitief vonnis van een Belgische rechtbank</w:t>
            </w:r>
            <w:r>
              <w:rPr>
                <w:rFonts w:cs="Calibri"/>
                <w:lang w:val="nl-BE"/>
              </w:rPr>
              <w:t>.</w:t>
            </w:r>
          </w:p>
        </w:tc>
        <w:tc>
          <w:tcPr>
            <w:tcW w:w="5812" w:type="dxa"/>
            <w:shd w:val="clear" w:color="auto" w:fill="auto"/>
          </w:tcPr>
          <w:p w14:paraId="4D22DA86" w14:textId="77777777" w:rsidR="000D6A2A" w:rsidRPr="000D6A2A" w:rsidRDefault="000D6A2A" w:rsidP="00D51D83">
            <w:pPr>
              <w:spacing w:after="0" w:line="240" w:lineRule="auto"/>
              <w:jc w:val="both"/>
              <w:rPr>
                <w:rFonts w:cs="Calibri"/>
                <w:lang w:val="fr-FR"/>
              </w:rPr>
            </w:pPr>
            <w:r w:rsidRPr="00E50B1E">
              <w:rPr>
                <w:rFonts w:cs="Calibri"/>
                <w:lang w:val="fr-BE"/>
              </w:rPr>
              <w:t>Tout membre d'un groupement européen d'intérêt économique cesse d'en faire partie à dater du jour où il a été déclaré en faillite par un jugement définitif d'un tribunal belge</w:t>
            </w:r>
            <w:r>
              <w:rPr>
                <w:rFonts w:cs="Calibri"/>
                <w:lang w:val="fr-BE"/>
              </w:rPr>
              <w:t>.</w:t>
            </w:r>
          </w:p>
        </w:tc>
      </w:tr>
      <w:tr w:rsidR="00421F3F" w:rsidRPr="00421F3F" w14:paraId="286FD483" w14:textId="77777777" w:rsidTr="00421F3F">
        <w:trPr>
          <w:trHeight w:val="436"/>
        </w:trPr>
        <w:tc>
          <w:tcPr>
            <w:tcW w:w="2122" w:type="dxa"/>
          </w:tcPr>
          <w:p w14:paraId="6B9B96A5" w14:textId="0D7CBA3A" w:rsidR="00421F3F" w:rsidRDefault="00421F3F" w:rsidP="00D51D83">
            <w:pPr>
              <w:spacing w:after="0" w:line="240" w:lineRule="auto"/>
              <w:rPr>
                <w:rFonts w:cs="Calibri"/>
                <w:lang w:val="nl-BE"/>
              </w:rPr>
            </w:pPr>
            <w:proofErr w:type="spellStart"/>
            <w:r w:rsidRPr="00DA325C">
              <w:t>Ontwerp</w:t>
            </w:r>
            <w:proofErr w:type="spellEnd"/>
          </w:p>
        </w:tc>
        <w:tc>
          <w:tcPr>
            <w:tcW w:w="6047" w:type="dxa"/>
            <w:shd w:val="clear" w:color="auto" w:fill="auto"/>
          </w:tcPr>
          <w:p w14:paraId="4AEF1A19" w14:textId="0500F99F" w:rsidR="00421F3F" w:rsidRPr="00E50B1E" w:rsidRDefault="00421F3F" w:rsidP="00D51D83">
            <w:pPr>
              <w:spacing w:after="0" w:line="240" w:lineRule="auto"/>
              <w:jc w:val="both"/>
              <w:rPr>
                <w:rFonts w:cs="Calibri"/>
                <w:lang w:val="nl-BE"/>
              </w:rPr>
            </w:pPr>
            <w:proofErr w:type="spellStart"/>
            <w:r w:rsidRPr="00DA325C">
              <w:t>Geen</w:t>
            </w:r>
            <w:proofErr w:type="spellEnd"/>
            <w:r w:rsidRPr="00DA325C">
              <w:t xml:space="preserve"> </w:t>
            </w:r>
            <w:proofErr w:type="spellStart"/>
            <w:r w:rsidRPr="00DA325C">
              <w:t>artikel</w:t>
            </w:r>
            <w:proofErr w:type="spellEnd"/>
            <w:r>
              <w:t>.</w:t>
            </w:r>
          </w:p>
        </w:tc>
        <w:tc>
          <w:tcPr>
            <w:tcW w:w="5812" w:type="dxa"/>
            <w:shd w:val="clear" w:color="auto" w:fill="auto"/>
          </w:tcPr>
          <w:p w14:paraId="51C9091F" w14:textId="1175053B" w:rsidR="00421F3F" w:rsidRPr="00E50B1E" w:rsidRDefault="00421F3F" w:rsidP="00D51D83">
            <w:pPr>
              <w:spacing w:after="0" w:line="240" w:lineRule="auto"/>
              <w:jc w:val="both"/>
              <w:rPr>
                <w:rFonts w:cs="Calibri"/>
                <w:lang w:val="fr-BE"/>
              </w:rPr>
            </w:pPr>
            <w:r w:rsidRPr="00DA325C">
              <w:t xml:space="preserve">Pas </w:t>
            </w:r>
            <w:proofErr w:type="spellStart"/>
            <w:r w:rsidRPr="00DA325C">
              <w:t>d’article</w:t>
            </w:r>
            <w:proofErr w:type="spellEnd"/>
            <w:r>
              <w:t>.</w:t>
            </w:r>
          </w:p>
        </w:tc>
      </w:tr>
      <w:tr w:rsidR="00421F3F" w:rsidRPr="00D220C1" w14:paraId="75E5123D" w14:textId="77777777" w:rsidTr="00D121E5">
        <w:trPr>
          <w:trHeight w:val="399"/>
        </w:trPr>
        <w:tc>
          <w:tcPr>
            <w:tcW w:w="2122" w:type="dxa"/>
          </w:tcPr>
          <w:p w14:paraId="4E12F973" w14:textId="77777777" w:rsidR="00421F3F" w:rsidRPr="00D220C1" w:rsidRDefault="00421F3F" w:rsidP="00D51D83">
            <w:pPr>
              <w:spacing w:after="0" w:line="240" w:lineRule="auto"/>
              <w:rPr>
                <w:rFonts w:cs="Calibri"/>
                <w:lang w:val="fr-FR"/>
              </w:rPr>
            </w:pPr>
            <w:proofErr w:type="spellStart"/>
            <w:r>
              <w:rPr>
                <w:rFonts w:cs="Calibri"/>
                <w:lang w:val="fr-FR"/>
              </w:rPr>
              <w:t>Voorontwerp</w:t>
            </w:r>
            <w:proofErr w:type="spellEnd"/>
          </w:p>
        </w:tc>
        <w:tc>
          <w:tcPr>
            <w:tcW w:w="6047" w:type="dxa"/>
            <w:shd w:val="clear" w:color="auto" w:fill="auto"/>
          </w:tcPr>
          <w:p w14:paraId="48F889B8" w14:textId="77777777" w:rsidR="00421F3F" w:rsidRPr="00D220C1" w:rsidRDefault="00421F3F" w:rsidP="00D51D83">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shd w:val="clear" w:color="auto" w:fill="auto"/>
          </w:tcPr>
          <w:p w14:paraId="01C822A0" w14:textId="77777777" w:rsidR="00421F3F" w:rsidRPr="00E50B1E" w:rsidRDefault="00421F3F" w:rsidP="00D51D83">
            <w:pPr>
              <w:spacing w:after="0" w:line="240" w:lineRule="auto"/>
              <w:jc w:val="both"/>
              <w:rPr>
                <w:rFonts w:cs="Calibri"/>
                <w:lang w:val="fr-BE"/>
              </w:rPr>
            </w:pPr>
            <w:r>
              <w:rPr>
                <w:rFonts w:cs="Calibri"/>
                <w:lang w:val="fr-BE"/>
              </w:rPr>
              <w:t>Pas d’article</w:t>
            </w:r>
          </w:p>
        </w:tc>
      </w:tr>
      <w:tr w:rsidR="00421F3F" w:rsidRPr="00D121E5" w14:paraId="7CED660B" w14:textId="77777777" w:rsidTr="00D121E5">
        <w:trPr>
          <w:trHeight w:val="423"/>
        </w:trPr>
        <w:tc>
          <w:tcPr>
            <w:tcW w:w="2122" w:type="dxa"/>
          </w:tcPr>
          <w:p w14:paraId="07751BA3" w14:textId="77777777" w:rsidR="00421F3F" w:rsidRPr="00DA325C" w:rsidRDefault="00421F3F" w:rsidP="00D51D83">
            <w:pPr>
              <w:spacing w:after="0"/>
            </w:pPr>
            <w:bookmarkStart w:id="0" w:name="_GoBack"/>
            <w:bookmarkEnd w:id="0"/>
            <w:proofErr w:type="spellStart"/>
            <w:r>
              <w:t>MvT</w:t>
            </w:r>
            <w:proofErr w:type="spellEnd"/>
          </w:p>
        </w:tc>
        <w:tc>
          <w:tcPr>
            <w:tcW w:w="6047" w:type="dxa"/>
            <w:shd w:val="clear" w:color="auto" w:fill="auto"/>
          </w:tcPr>
          <w:p w14:paraId="32B1EA12" w14:textId="77777777" w:rsidR="00421F3F" w:rsidRPr="00CC76A3" w:rsidRDefault="00421F3F" w:rsidP="00D51D83">
            <w:pPr>
              <w:spacing w:after="0"/>
              <w:rPr>
                <w:lang w:val="nl-BE"/>
              </w:rPr>
            </w:pPr>
            <w:r w:rsidRPr="00CC76A3">
              <w:rPr>
                <w:lang w:val="nl-BE"/>
              </w:rPr>
              <w:t>Deze bepaling herneemt artikel 9 EESV-wet.</w:t>
            </w:r>
          </w:p>
        </w:tc>
        <w:tc>
          <w:tcPr>
            <w:tcW w:w="5812" w:type="dxa"/>
            <w:shd w:val="clear" w:color="auto" w:fill="auto"/>
          </w:tcPr>
          <w:p w14:paraId="6E6D94AB" w14:textId="77777777" w:rsidR="00421F3F" w:rsidRPr="00CC76A3" w:rsidRDefault="00421F3F" w:rsidP="00D51D83">
            <w:pPr>
              <w:spacing w:after="0"/>
              <w:rPr>
                <w:lang w:val="fr-FR"/>
              </w:rPr>
            </w:pPr>
            <w:r w:rsidRPr="00CC76A3">
              <w:rPr>
                <w:lang w:val="fr-FR"/>
              </w:rPr>
              <w:t>Cette disposition reprend l’article 9 de la loi GEIE.</w:t>
            </w:r>
          </w:p>
        </w:tc>
      </w:tr>
      <w:tr w:rsidR="00421F3F" w:rsidRPr="00CC76A3" w14:paraId="2AB2FF3F" w14:textId="77777777" w:rsidTr="00D121E5">
        <w:trPr>
          <w:trHeight w:val="385"/>
        </w:trPr>
        <w:tc>
          <w:tcPr>
            <w:tcW w:w="2122" w:type="dxa"/>
          </w:tcPr>
          <w:p w14:paraId="3A70B300" w14:textId="77777777" w:rsidR="00421F3F" w:rsidRDefault="00421F3F" w:rsidP="00D51D83">
            <w:pPr>
              <w:spacing w:after="0"/>
            </w:pPr>
            <w:proofErr w:type="spellStart"/>
            <w:r>
              <w:t>RvSt</w:t>
            </w:r>
            <w:proofErr w:type="spellEnd"/>
          </w:p>
        </w:tc>
        <w:tc>
          <w:tcPr>
            <w:tcW w:w="6047" w:type="dxa"/>
            <w:shd w:val="clear" w:color="auto" w:fill="auto"/>
          </w:tcPr>
          <w:p w14:paraId="108FDC59" w14:textId="77777777" w:rsidR="00421F3F" w:rsidRPr="00CC76A3" w:rsidRDefault="00421F3F" w:rsidP="00D51D83">
            <w:pPr>
              <w:spacing w:after="0"/>
              <w:rPr>
                <w:lang w:val="nl-BE"/>
              </w:rPr>
            </w:pPr>
            <w:r>
              <w:rPr>
                <w:lang w:val="nl-BE"/>
              </w:rPr>
              <w:t>Geen opmerkingen.</w:t>
            </w:r>
          </w:p>
        </w:tc>
        <w:tc>
          <w:tcPr>
            <w:tcW w:w="5812" w:type="dxa"/>
            <w:shd w:val="clear" w:color="auto" w:fill="auto"/>
          </w:tcPr>
          <w:p w14:paraId="7A04F189" w14:textId="77777777" w:rsidR="00421F3F" w:rsidRPr="00CC76A3" w:rsidRDefault="00421F3F" w:rsidP="00D51D83">
            <w:pPr>
              <w:spacing w:after="0"/>
              <w:rPr>
                <w:lang w:val="fr-FR"/>
              </w:rPr>
            </w:pPr>
            <w:r>
              <w:rPr>
                <w:lang w:val="fr-FR"/>
              </w:rPr>
              <w:t>Pas de remarques.</w:t>
            </w:r>
          </w:p>
        </w:tc>
      </w:tr>
    </w:tbl>
    <w:p w14:paraId="2FF6CBB6" w14:textId="77777777" w:rsidR="001203BA" w:rsidRPr="00CC76A3" w:rsidRDefault="001203BA" w:rsidP="001203BA">
      <w:pPr>
        <w:rPr>
          <w:lang w:val="fr-FR"/>
        </w:rPr>
      </w:pPr>
    </w:p>
    <w:p w14:paraId="29F1C4F5" w14:textId="77777777" w:rsidR="00A820D7" w:rsidRPr="00CC76A3" w:rsidRDefault="00A820D7">
      <w:pPr>
        <w:rPr>
          <w:lang w:val="fr-FR"/>
        </w:rPr>
      </w:pPr>
    </w:p>
    <w:sectPr w:rsidR="00A820D7" w:rsidRPr="00CC76A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7164B"/>
    <w:multiLevelType w:val="hybridMultilevel"/>
    <w:tmpl w:val="36109672"/>
    <w:lvl w:ilvl="0" w:tplc="782E0620">
      <w:start w:val="1"/>
      <w:numFmt w:val="decimal"/>
      <w:pStyle w:val="151NL"/>
      <w:lvlText w:val="Art. 15:%1."/>
      <w:lvlJc w:val="left"/>
      <w:pPr>
        <w:ind w:left="2629" w:hanging="360"/>
      </w:pPr>
      <w:rPr>
        <w:rFonts w:ascii="Palatino Linotype" w:hAnsi="Palatino Linotype" w:hint="default"/>
        <w:b w:val="0"/>
        <w:i w:val="0"/>
        <w:color w:val="0000FF"/>
        <w:sz w:val="20"/>
      </w:rPr>
    </w:lvl>
    <w:lvl w:ilvl="1" w:tplc="08090019" w:tentative="1">
      <w:start w:val="1"/>
      <w:numFmt w:val="lowerLetter"/>
      <w:lvlText w:val="%2."/>
      <w:lvlJc w:val="left"/>
      <w:pPr>
        <w:ind w:left="2749" w:hanging="360"/>
      </w:pPr>
    </w:lvl>
    <w:lvl w:ilvl="2" w:tplc="0809001B" w:tentative="1">
      <w:start w:val="1"/>
      <w:numFmt w:val="lowerRoman"/>
      <w:lvlText w:val="%3."/>
      <w:lvlJc w:val="right"/>
      <w:pPr>
        <w:ind w:left="3469" w:hanging="180"/>
      </w:pPr>
    </w:lvl>
    <w:lvl w:ilvl="3" w:tplc="0809000F" w:tentative="1">
      <w:start w:val="1"/>
      <w:numFmt w:val="decimal"/>
      <w:lvlText w:val="%4."/>
      <w:lvlJc w:val="left"/>
      <w:pPr>
        <w:ind w:left="4189" w:hanging="360"/>
      </w:pPr>
    </w:lvl>
    <w:lvl w:ilvl="4" w:tplc="08090019" w:tentative="1">
      <w:start w:val="1"/>
      <w:numFmt w:val="lowerLetter"/>
      <w:lvlText w:val="%5."/>
      <w:lvlJc w:val="left"/>
      <w:pPr>
        <w:ind w:left="4909" w:hanging="360"/>
      </w:pPr>
    </w:lvl>
    <w:lvl w:ilvl="5" w:tplc="0809001B" w:tentative="1">
      <w:start w:val="1"/>
      <w:numFmt w:val="lowerRoman"/>
      <w:lvlText w:val="%6."/>
      <w:lvlJc w:val="right"/>
      <w:pPr>
        <w:ind w:left="5629" w:hanging="180"/>
      </w:pPr>
    </w:lvl>
    <w:lvl w:ilvl="6" w:tplc="0809000F" w:tentative="1">
      <w:start w:val="1"/>
      <w:numFmt w:val="decimal"/>
      <w:lvlText w:val="%7."/>
      <w:lvlJc w:val="left"/>
      <w:pPr>
        <w:ind w:left="6349" w:hanging="360"/>
      </w:pPr>
    </w:lvl>
    <w:lvl w:ilvl="7" w:tplc="08090019" w:tentative="1">
      <w:start w:val="1"/>
      <w:numFmt w:val="lowerLetter"/>
      <w:lvlText w:val="%8."/>
      <w:lvlJc w:val="left"/>
      <w:pPr>
        <w:ind w:left="7069" w:hanging="360"/>
      </w:pPr>
    </w:lvl>
    <w:lvl w:ilvl="8" w:tplc="0809001B" w:tentative="1">
      <w:start w:val="1"/>
      <w:numFmt w:val="lowerRoman"/>
      <w:lvlText w:val="%9."/>
      <w:lvlJc w:val="right"/>
      <w:pPr>
        <w:ind w:left="77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4C6F"/>
    <w:rsid w:val="00036F85"/>
    <w:rsid w:val="000441DE"/>
    <w:rsid w:val="00071562"/>
    <w:rsid w:val="00084E4D"/>
    <w:rsid w:val="00093A2B"/>
    <w:rsid w:val="00093AAC"/>
    <w:rsid w:val="000B17B4"/>
    <w:rsid w:val="000D6A2A"/>
    <w:rsid w:val="000D6EAF"/>
    <w:rsid w:val="000E14C5"/>
    <w:rsid w:val="000F28E4"/>
    <w:rsid w:val="00102D66"/>
    <w:rsid w:val="00104701"/>
    <w:rsid w:val="00111D98"/>
    <w:rsid w:val="001124BA"/>
    <w:rsid w:val="0011776E"/>
    <w:rsid w:val="001203BA"/>
    <w:rsid w:val="001274D6"/>
    <w:rsid w:val="00133831"/>
    <w:rsid w:val="00133FDD"/>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1F57D8"/>
    <w:rsid w:val="00210D98"/>
    <w:rsid w:val="0021135B"/>
    <w:rsid w:val="00213D83"/>
    <w:rsid w:val="00214ADA"/>
    <w:rsid w:val="00216A35"/>
    <w:rsid w:val="002337A0"/>
    <w:rsid w:val="00251BBF"/>
    <w:rsid w:val="00253930"/>
    <w:rsid w:val="002562D5"/>
    <w:rsid w:val="00262FAA"/>
    <w:rsid w:val="0026584A"/>
    <w:rsid w:val="00265C16"/>
    <w:rsid w:val="00266349"/>
    <w:rsid w:val="00267866"/>
    <w:rsid w:val="00271C8A"/>
    <w:rsid w:val="00274C37"/>
    <w:rsid w:val="00276531"/>
    <w:rsid w:val="002820F5"/>
    <w:rsid w:val="00283177"/>
    <w:rsid w:val="002912FD"/>
    <w:rsid w:val="0029665A"/>
    <w:rsid w:val="00297FF6"/>
    <w:rsid w:val="002A12C9"/>
    <w:rsid w:val="002A4557"/>
    <w:rsid w:val="002A5831"/>
    <w:rsid w:val="002B14C4"/>
    <w:rsid w:val="002B3F2F"/>
    <w:rsid w:val="002C622E"/>
    <w:rsid w:val="002D76A6"/>
    <w:rsid w:val="002E665B"/>
    <w:rsid w:val="002F7950"/>
    <w:rsid w:val="00300B84"/>
    <w:rsid w:val="00302A76"/>
    <w:rsid w:val="00306533"/>
    <w:rsid w:val="00306738"/>
    <w:rsid w:val="003163DB"/>
    <w:rsid w:val="00321BE4"/>
    <w:rsid w:val="003340F4"/>
    <w:rsid w:val="00340C21"/>
    <w:rsid w:val="003545A5"/>
    <w:rsid w:val="003564D8"/>
    <w:rsid w:val="00357D30"/>
    <w:rsid w:val="00367502"/>
    <w:rsid w:val="003831C0"/>
    <w:rsid w:val="00392936"/>
    <w:rsid w:val="003A1C6D"/>
    <w:rsid w:val="003A3D34"/>
    <w:rsid w:val="003A7991"/>
    <w:rsid w:val="003B06EB"/>
    <w:rsid w:val="003B15A0"/>
    <w:rsid w:val="003C38B1"/>
    <w:rsid w:val="003D744D"/>
    <w:rsid w:val="003E1F7C"/>
    <w:rsid w:val="003E76C0"/>
    <w:rsid w:val="003F24EE"/>
    <w:rsid w:val="003F6F60"/>
    <w:rsid w:val="00400236"/>
    <w:rsid w:val="00404691"/>
    <w:rsid w:val="00405ACE"/>
    <w:rsid w:val="00415C03"/>
    <w:rsid w:val="00421F3F"/>
    <w:rsid w:val="00423115"/>
    <w:rsid w:val="004334BF"/>
    <w:rsid w:val="00436918"/>
    <w:rsid w:val="00441E30"/>
    <w:rsid w:val="004443F2"/>
    <w:rsid w:val="004610CD"/>
    <w:rsid w:val="004637CE"/>
    <w:rsid w:val="0047203B"/>
    <w:rsid w:val="00492278"/>
    <w:rsid w:val="00492FE9"/>
    <w:rsid w:val="004A39E3"/>
    <w:rsid w:val="004A7563"/>
    <w:rsid w:val="004C3052"/>
    <w:rsid w:val="004C63AD"/>
    <w:rsid w:val="004F6E1D"/>
    <w:rsid w:val="00502CB1"/>
    <w:rsid w:val="005133BD"/>
    <w:rsid w:val="00513F84"/>
    <w:rsid w:val="00525185"/>
    <w:rsid w:val="00534740"/>
    <w:rsid w:val="005364B4"/>
    <w:rsid w:val="005415E2"/>
    <w:rsid w:val="005416BD"/>
    <w:rsid w:val="0054708F"/>
    <w:rsid w:val="00552D57"/>
    <w:rsid w:val="00556D0E"/>
    <w:rsid w:val="00562DB1"/>
    <w:rsid w:val="00585D82"/>
    <w:rsid w:val="005A3188"/>
    <w:rsid w:val="005A3C17"/>
    <w:rsid w:val="005A7179"/>
    <w:rsid w:val="005B25E3"/>
    <w:rsid w:val="005B2F3D"/>
    <w:rsid w:val="005C4198"/>
    <w:rsid w:val="005C7CE3"/>
    <w:rsid w:val="005D02C8"/>
    <w:rsid w:val="005D039B"/>
    <w:rsid w:val="005D1201"/>
    <w:rsid w:val="005E4002"/>
    <w:rsid w:val="005E7872"/>
    <w:rsid w:val="006132F3"/>
    <w:rsid w:val="00621861"/>
    <w:rsid w:val="00631F09"/>
    <w:rsid w:val="006348CD"/>
    <w:rsid w:val="0063632B"/>
    <w:rsid w:val="0064095E"/>
    <w:rsid w:val="00645D75"/>
    <w:rsid w:val="00650083"/>
    <w:rsid w:val="00651E0F"/>
    <w:rsid w:val="00657805"/>
    <w:rsid w:val="006602A1"/>
    <w:rsid w:val="0066155A"/>
    <w:rsid w:val="0066738E"/>
    <w:rsid w:val="0068143A"/>
    <w:rsid w:val="00683EAC"/>
    <w:rsid w:val="00685CF4"/>
    <w:rsid w:val="00686C06"/>
    <w:rsid w:val="006920C9"/>
    <w:rsid w:val="006A735D"/>
    <w:rsid w:val="006B2AA7"/>
    <w:rsid w:val="006C529C"/>
    <w:rsid w:val="006C79DF"/>
    <w:rsid w:val="006D501B"/>
    <w:rsid w:val="006D6DC3"/>
    <w:rsid w:val="006F4576"/>
    <w:rsid w:val="0070142C"/>
    <w:rsid w:val="00701DD9"/>
    <w:rsid w:val="00706549"/>
    <w:rsid w:val="00710A28"/>
    <w:rsid w:val="00710C81"/>
    <w:rsid w:val="00723421"/>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408"/>
    <w:rsid w:val="00817848"/>
    <w:rsid w:val="00833A2D"/>
    <w:rsid w:val="0083538F"/>
    <w:rsid w:val="008423F9"/>
    <w:rsid w:val="00842D8E"/>
    <w:rsid w:val="00853C03"/>
    <w:rsid w:val="00863AF1"/>
    <w:rsid w:val="00871F22"/>
    <w:rsid w:val="00887B0C"/>
    <w:rsid w:val="008A17D9"/>
    <w:rsid w:val="008B2189"/>
    <w:rsid w:val="008D71F7"/>
    <w:rsid w:val="008E164C"/>
    <w:rsid w:val="008E7328"/>
    <w:rsid w:val="00905B7A"/>
    <w:rsid w:val="00913896"/>
    <w:rsid w:val="00913FE2"/>
    <w:rsid w:val="0091557F"/>
    <w:rsid w:val="00916E5F"/>
    <w:rsid w:val="009172D4"/>
    <w:rsid w:val="009235D2"/>
    <w:rsid w:val="0093030C"/>
    <w:rsid w:val="00931894"/>
    <w:rsid w:val="00935E60"/>
    <w:rsid w:val="00943313"/>
    <w:rsid w:val="009460AE"/>
    <w:rsid w:val="009627E9"/>
    <w:rsid w:val="0096303B"/>
    <w:rsid w:val="0098698D"/>
    <w:rsid w:val="009965B6"/>
    <w:rsid w:val="009A4260"/>
    <w:rsid w:val="009B3BE6"/>
    <w:rsid w:val="009C0DC9"/>
    <w:rsid w:val="009D0503"/>
    <w:rsid w:val="009D0B3E"/>
    <w:rsid w:val="009F648C"/>
    <w:rsid w:val="009F7906"/>
    <w:rsid w:val="00A0074A"/>
    <w:rsid w:val="00A01EFB"/>
    <w:rsid w:val="00A14C1E"/>
    <w:rsid w:val="00A152BE"/>
    <w:rsid w:val="00A72BBC"/>
    <w:rsid w:val="00A7675D"/>
    <w:rsid w:val="00A820D7"/>
    <w:rsid w:val="00A87F77"/>
    <w:rsid w:val="00A92F93"/>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21391"/>
    <w:rsid w:val="00B41CE6"/>
    <w:rsid w:val="00B43558"/>
    <w:rsid w:val="00B44890"/>
    <w:rsid w:val="00B50606"/>
    <w:rsid w:val="00B61E27"/>
    <w:rsid w:val="00B6333A"/>
    <w:rsid w:val="00B71729"/>
    <w:rsid w:val="00B779CF"/>
    <w:rsid w:val="00B9162B"/>
    <w:rsid w:val="00B9723E"/>
    <w:rsid w:val="00B97CC3"/>
    <w:rsid w:val="00BA0E76"/>
    <w:rsid w:val="00BA1659"/>
    <w:rsid w:val="00BA26D2"/>
    <w:rsid w:val="00BB376A"/>
    <w:rsid w:val="00BD2DC6"/>
    <w:rsid w:val="00BE2349"/>
    <w:rsid w:val="00BE31FF"/>
    <w:rsid w:val="00BF1861"/>
    <w:rsid w:val="00BF2646"/>
    <w:rsid w:val="00C01CC2"/>
    <w:rsid w:val="00C01CFA"/>
    <w:rsid w:val="00C12A40"/>
    <w:rsid w:val="00C162B3"/>
    <w:rsid w:val="00C166D1"/>
    <w:rsid w:val="00C1753D"/>
    <w:rsid w:val="00C4014C"/>
    <w:rsid w:val="00C47A8C"/>
    <w:rsid w:val="00C509F8"/>
    <w:rsid w:val="00C52F6F"/>
    <w:rsid w:val="00C65CB4"/>
    <w:rsid w:val="00C72E4C"/>
    <w:rsid w:val="00C80883"/>
    <w:rsid w:val="00C80921"/>
    <w:rsid w:val="00C86467"/>
    <w:rsid w:val="00C86CC5"/>
    <w:rsid w:val="00C91A38"/>
    <w:rsid w:val="00C9498E"/>
    <w:rsid w:val="00CA1557"/>
    <w:rsid w:val="00CA5454"/>
    <w:rsid w:val="00CB08CB"/>
    <w:rsid w:val="00CB210A"/>
    <w:rsid w:val="00CB3250"/>
    <w:rsid w:val="00CB6FFB"/>
    <w:rsid w:val="00CC6422"/>
    <w:rsid w:val="00CC76A3"/>
    <w:rsid w:val="00CF7AC1"/>
    <w:rsid w:val="00D102E1"/>
    <w:rsid w:val="00D121E5"/>
    <w:rsid w:val="00D220C1"/>
    <w:rsid w:val="00D22227"/>
    <w:rsid w:val="00D42D9B"/>
    <w:rsid w:val="00D46773"/>
    <w:rsid w:val="00D51D83"/>
    <w:rsid w:val="00D637E1"/>
    <w:rsid w:val="00D66D82"/>
    <w:rsid w:val="00D751E3"/>
    <w:rsid w:val="00D76CDC"/>
    <w:rsid w:val="00D8405B"/>
    <w:rsid w:val="00D931FB"/>
    <w:rsid w:val="00D96002"/>
    <w:rsid w:val="00DA0AF3"/>
    <w:rsid w:val="00DB5C97"/>
    <w:rsid w:val="00DD79BB"/>
    <w:rsid w:val="00DE1FCC"/>
    <w:rsid w:val="00E1207A"/>
    <w:rsid w:val="00E15370"/>
    <w:rsid w:val="00E15CFE"/>
    <w:rsid w:val="00E21F8D"/>
    <w:rsid w:val="00E26DE4"/>
    <w:rsid w:val="00E511E0"/>
    <w:rsid w:val="00E53C0F"/>
    <w:rsid w:val="00E719D5"/>
    <w:rsid w:val="00E72BF6"/>
    <w:rsid w:val="00E85F7D"/>
    <w:rsid w:val="00E92F68"/>
    <w:rsid w:val="00E94056"/>
    <w:rsid w:val="00EA3D66"/>
    <w:rsid w:val="00EA7FDC"/>
    <w:rsid w:val="00EB2EF1"/>
    <w:rsid w:val="00EB4929"/>
    <w:rsid w:val="00EC77EF"/>
    <w:rsid w:val="00ED31D7"/>
    <w:rsid w:val="00ED3B78"/>
    <w:rsid w:val="00ED6CD0"/>
    <w:rsid w:val="00EE17D3"/>
    <w:rsid w:val="00EE44AC"/>
    <w:rsid w:val="00F03C83"/>
    <w:rsid w:val="00F06403"/>
    <w:rsid w:val="00F134E0"/>
    <w:rsid w:val="00F20FCB"/>
    <w:rsid w:val="00F234EA"/>
    <w:rsid w:val="00F26581"/>
    <w:rsid w:val="00F301AA"/>
    <w:rsid w:val="00F31712"/>
    <w:rsid w:val="00F31AEF"/>
    <w:rsid w:val="00F343DF"/>
    <w:rsid w:val="00F54E2C"/>
    <w:rsid w:val="00F61965"/>
    <w:rsid w:val="00F63D28"/>
    <w:rsid w:val="00F67171"/>
    <w:rsid w:val="00F74E3F"/>
    <w:rsid w:val="00F830BD"/>
    <w:rsid w:val="00F9299A"/>
    <w:rsid w:val="00FB0C45"/>
    <w:rsid w:val="00FD0CAE"/>
    <w:rsid w:val="00FD6803"/>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F42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75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D751E3"/>
    <w:rPr>
      <w:rFonts w:asciiTheme="majorHAnsi" w:eastAsiaTheme="majorEastAsia" w:hAnsiTheme="majorHAnsi" w:cstheme="majorBidi"/>
      <w:color w:val="2E74B5" w:themeColor="accent1" w:themeShade="BF"/>
      <w:sz w:val="32"/>
      <w:szCs w:val="32"/>
    </w:rPr>
  </w:style>
  <w:style w:type="paragraph" w:customStyle="1" w:styleId="151NL">
    <w:name w:val="15:1 NL"/>
    <w:basedOn w:val="Standaard"/>
    <w:link w:val="151NLChar"/>
    <w:qFormat/>
    <w:rsid w:val="001F57D8"/>
    <w:pPr>
      <w:numPr>
        <w:numId w:val="1"/>
      </w:numPr>
      <w:tabs>
        <w:tab w:val="left" w:pos="992"/>
      </w:tabs>
      <w:spacing w:after="0" w:line="240" w:lineRule="auto"/>
      <w:ind w:left="0" w:firstLine="0"/>
      <w:jc w:val="both"/>
    </w:pPr>
    <w:rPr>
      <w:rFonts w:ascii="Palatino Linotype" w:eastAsia="Times New Roman" w:hAnsi="Palatino Linotype" w:cs="Times New Roman"/>
      <w:sz w:val="20"/>
      <w:szCs w:val="20"/>
      <w:lang w:val="fr-FR"/>
    </w:rPr>
  </w:style>
  <w:style w:type="character" w:customStyle="1" w:styleId="151NLChar">
    <w:name w:val="15:1 NL Char"/>
    <w:basedOn w:val="Standaardalinea-lettertype"/>
    <w:link w:val="151NL"/>
    <w:rsid w:val="001F57D8"/>
    <w:rPr>
      <w:rFonts w:ascii="Palatino Linotype" w:eastAsia="Times New Roman" w:hAnsi="Palatino Linotype"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556</Characters>
  <Application>Microsoft Macintosh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cp:revision>
  <dcterms:created xsi:type="dcterms:W3CDTF">2021-08-17T06:59:00Z</dcterms:created>
  <dcterms:modified xsi:type="dcterms:W3CDTF">2022-02-07T15:56:00Z</dcterms:modified>
</cp:coreProperties>
</file>