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6095"/>
        <w:gridCol w:w="5623"/>
        <w:gridCol w:w="283"/>
      </w:tblGrid>
      <w:tr w:rsidR="00B6424F" w:rsidRPr="00B6424F" w14:paraId="00B55C36" w14:textId="77777777" w:rsidTr="002B0E49">
        <w:tc>
          <w:tcPr>
            <w:tcW w:w="13698" w:type="dxa"/>
            <w:gridSpan w:val="3"/>
          </w:tcPr>
          <w:p w14:paraId="18E9E1CC" w14:textId="77777777" w:rsidR="00B6424F" w:rsidRDefault="00B6424F" w:rsidP="006A54E9">
            <w:pPr>
              <w:rPr>
                <w:b/>
                <w:sz w:val="32"/>
                <w:szCs w:val="32"/>
                <w:lang w:val="nl-BE"/>
              </w:rPr>
            </w:pPr>
            <w:r>
              <w:rPr>
                <w:b/>
                <w:sz w:val="32"/>
                <w:szCs w:val="32"/>
                <w:lang w:val="nl-BE"/>
              </w:rPr>
              <w:t>Hoofdstuk 3. – O</w:t>
            </w:r>
            <w:r w:rsidRPr="00B6424F">
              <w:rPr>
                <w:b/>
                <w:sz w:val="32"/>
                <w:szCs w:val="32"/>
                <w:lang w:val="nl-BE"/>
              </w:rPr>
              <w:t>ptreden in rechte.</w:t>
            </w:r>
          </w:p>
        </w:tc>
        <w:tc>
          <w:tcPr>
            <w:tcW w:w="283" w:type="dxa"/>
            <w:shd w:val="clear" w:color="auto" w:fill="auto"/>
          </w:tcPr>
          <w:p w14:paraId="5F88085A" w14:textId="77777777" w:rsidR="00B6424F" w:rsidRPr="007B17CA" w:rsidRDefault="00B6424F" w:rsidP="006A54E9">
            <w:pPr>
              <w:jc w:val="center"/>
              <w:rPr>
                <w:rFonts w:ascii="Cambria" w:eastAsia="Calibri" w:hAnsi="Cambria" w:cs="Times New Roman"/>
                <w:b/>
                <w:bCs/>
                <w:color w:val="4F81BD"/>
                <w:sz w:val="32"/>
                <w:szCs w:val="26"/>
                <w:lang w:val="nl-NL" w:eastAsia="fr-FR"/>
              </w:rPr>
            </w:pPr>
          </w:p>
        </w:tc>
      </w:tr>
      <w:tr w:rsidR="001203BA" w:rsidRPr="00B6424F" w14:paraId="0389980A" w14:textId="77777777" w:rsidTr="002B0E49">
        <w:tc>
          <w:tcPr>
            <w:tcW w:w="1980" w:type="dxa"/>
          </w:tcPr>
          <w:p w14:paraId="489F2C3A" w14:textId="77777777" w:rsidR="001203BA" w:rsidRPr="00B07AC9" w:rsidRDefault="00D134F7" w:rsidP="006A54E9">
            <w:pPr>
              <w:rPr>
                <w:b/>
                <w:sz w:val="32"/>
                <w:szCs w:val="32"/>
                <w:lang w:val="nl-BE"/>
              </w:rPr>
            </w:pPr>
            <w:r>
              <w:rPr>
                <w:b/>
                <w:sz w:val="32"/>
                <w:szCs w:val="32"/>
                <w:lang w:val="nl-BE"/>
              </w:rPr>
              <w:t>ARTIKEL 18:5</w:t>
            </w:r>
          </w:p>
        </w:tc>
        <w:tc>
          <w:tcPr>
            <w:tcW w:w="12001" w:type="dxa"/>
            <w:gridSpan w:val="3"/>
            <w:shd w:val="clear" w:color="auto" w:fill="auto"/>
          </w:tcPr>
          <w:p w14:paraId="1D709825" w14:textId="77777777" w:rsidR="001203BA" w:rsidRPr="007B17CA" w:rsidRDefault="001203BA" w:rsidP="006A54E9">
            <w:pPr>
              <w:jc w:val="center"/>
              <w:rPr>
                <w:rFonts w:ascii="Cambria" w:eastAsia="Calibri" w:hAnsi="Cambria" w:cs="Times New Roman"/>
                <w:b/>
                <w:bCs/>
                <w:color w:val="4F81BD"/>
                <w:sz w:val="32"/>
                <w:szCs w:val="26"/>
                <w:lang w:val="nl-NL" w:eastAsia="fr-FR"/>
              </w:rPr>
            </w:pPr>
          </w:p>
        </w:tc>
      </w:tr>
      <w:tr w:rsidR="00320BF4" w:rsidRPr="00B6424F" w14:paraId="06379FD1" w14:textId="77777777" w:rsidTr="002B0E49">
        <w:tc>
          <w:tcPr>
            <w:tcW w:w="1980" w:type="dxa"/>
          </w:tcPr>
          <w:p w14:paraId="509A6DE1" w14:textId="77777777" w:rsidR="00320BF4" w:rsidRDefault="00320BF4" w:rsidP="006A54E9">
            <w:pPr>
              <w:rPr>
                <w:b/>
                <w:sz w:val="32"/>
                <w:szCs w:val="32"/>
                <w:lang w:val="nl-BE"/>
              </w:rPr>
            </w:pPr>
          </w:p>
        </w:tc>
        <w:tc>
          <w:tcPr>
            <w:tcW w:w="12001" w:type="dxa"/>
            <w:gridSpan w:val="3"/>
            <w:shd w:val="clear" w:color="auto" w:fill="auto"/>
          </w:tcPr>
          <w:p w14:paraId="4F763E0F" w14:textId="77777777" w:rsidR="00320BF4" w:rsidRPr="007B17CA" w:rsidRDefault="00320BF4" w:rsidP="006A54E9">
            <w:pPr>
              <w:jc w:val="center"/>
              <w:rPr>
                <w:rFonts w:ascii="Cambria" w:eastAsia="Calibri" w:hAnsi="Cambria" w:cs="Times New Roman"/>
                <w:b/>
                <w:bCs/>
                <w:color w:val="4F81BD"/>
                <w:sz w:val="32"/>
                <w:szCs w:val="26"/>
                <w:lang w:val="nl-NL" w:eastAsia="fr-FR"/>
              </w:rPr>
            </w:pPr>
          </w:p>
        </w:tc>
      </w:tr>
      <w:tr w:rsidR="00D134F7" w:rsidRPr="009566E9" w14:paraId="417A03B2" w14:textId="77777777" w:rsidTr="002B0E49">
        <w:trPr>
          <w:trHeight w:val="1690"/>
        </w:trPr>
        <w:tc>
          <w:tcPr>
            <w:tcW w:w="1980" w:type="dxa"/>
          </w:tcPr>
          <w:p w14:paraId="1EFACAA7" w14:textId="77777777" w:rsidR="00D134F7" w:rsidRDefault="00D134F7" w:rsidP="006A54E9">
            <w:pPr>
              <w:spacing w:after="0" w:line="240" w:lineRule="auto"/>
              <w:rPr>
                <w:rFonts w:cs="Calibri"/>
                <w:lang w:val="nl-BE"/>
              </w:rPr>
            </w:pPr>
            <w:r>
              <w:rPr>
                <w:rFonts w:cs="Calibri"/>
                <w:lang w:val="nl-BE"/>
              </w:rPr>
              <w:t>WVV</w:t>
            </w:r>
          </w:p>
        </w:tc>
        <w:tc>
          <w:tcPr>
            <w:tcW w:w="6095" w:type="dxa"/>
            <w:shd w:val="clear" w:color="auto" w:fill="auto"/>
          </w:tcPr>
          <w:p w14:paraId="163D2537" w14:textId="77777777" w:rsidR="00D134F7" w:rsidRDefault="00D134F7" w:rsidP="006A54E9">
            <w:pPr>
              <w:spacing w:after="0" w:line="240" w:lineRule="auto"/>
              <w:jc w:val="both"/>
              <w:rPr>
                <w:rFonts w:cs="Calibri"/>
                <w:lang w:val="nl-BE"/>
              </w:rPr>
            </w:pPr>
            <w:r w:rsidRPr="00E50B1E">
              <w:rPr>
                <w:rFonts w:cs="Calibri"/>
                <w:lang w:val="nl-BE"/>
              </w:rPr>
              <w:t>Het Europees economisch samenwerkingsverband mag in rechte optreden, hetzij als eiser, hetzij als verweerder, voor de verdediging van de persoonlijke rechten waarop haar leden aanspraak mogen maken in die hoedanigheid, onverminderd het recht voor die leden om rechtstreeks op te treden, zich bij het geding aan te sluiten of tussen te komen in de loop van het rechtsgeding</w:t>
            </w:r>
            <w:r>
              <w:rPr>
                <w:rFonts w:cs="Calibri"/>
                <w:lang w:val="nl-BE"/>
              </w:rPr>
              <w:t>.</w:t>
            </w:r>
          </w:p>
        </w:tc>
        <w:tc>
          <w:tcPr>
            <w:tcW w:w="5906" w:type="dxa"/>
            <w:gridSpan w:val="2"/>
            <w:shd w:val="clear" w:color="auto" w:fill="auto"/>
          </w:tcPr>
          <w:p w14:paraId="42C95977" w14:textId="77777777" w:rsidR="00D134F7" w:rsidRPr="007A1FD3" w:rsidRDefault="00D134F7" w:rsidP="006A54E9">
            <w:pPr>
              <w:spacing w:after="0" w:line="240" w:lineRule="auto"/>
              <w:jc w:val="both"/>
              <w:rPr>
                <w:rFonts w:cs="Calibri"/>
                <w:lang w:val="fr-FR"/>
              </w:rPr>
            </w:pPr>
            <w:r w:rsidRPr="00E50B1E">
              <w:rPr>
                <w:rFonts w:cs="Calibri"/>
                <w:lang w:val="fr-BE"/>
              </w:rPr>
              <w:t>Le  groupement européen d'intérêt économique peut ester en justice, soit en demandant, soit en défendant, pour la défense des droits individuels que ses membres tiennent en cette qualité de membres, sans préjudice au droit de ces membres d’agir directement, de se joindre à l’action ou d’intervenir dans l’instance</w:t>
            </w:r>
            <w:r>
              <w:rPr>
                <w:rFonts w:cs="Calibri"/>
                <w:lang w:val="fr-BE"/>
              </w:rPr>
              <w:t>.</w:t>
            </w:r>
          </w:p>
        </w:tc>
      </w:tr>
      <w:tr w:rsidR="009566E9" w:rsidRPr="009566E9" w14:paraId="69685983" w14:textId="77777777" w:rsidTr="009566E9">
        <w:trPr>
          <w:trHeight w:val="451"/>
        </w:trPr>
        <w:tc>
          <w:tcPr>
            <w:tcW w:w="1980" w:type="dxa"/>
          </w:tcPr>
          <w:p w14:paraId="633FBD84" w14:textId="6C383583" w:rsidR="009566E9" w:rsidRDefault="009566E9" w:rsidP="006A54E9">
            <w:pPr>
              <w:spacing w:after="0" w:line="240" w:lineRule="auto"/>
              <w:rPr>
                <w:rFonts w:cs="Calibri"/>
                <w:lang w:val="nl-BE"/>
              </w:rPr>
            </w:pPr>
            <w:proofErr w:type="spellStart"/>
            <w:r w:rsidRPr="0073624D">
              <w:t>Ontwerp</w:t>
            </w:r>
            <w:proofErr w:type="spellEnd"/>
          </w:p>
        </w:tc>
        <w:tc>
          <w:tcPr>
            <w:tcW w:w="6095" w:type="dxa"/>
            <w:shd w:val="clear" w:color="auto" w:fill="auto"/>
          </w:tcPr>
          <w:p w14:paraId="1F566CE3" w14:textId="4369D7C7" w:rsidR="009566E9" w:rsidRPr="00E50B1E" w:rsidRDefault="009566E9" w:rsidP="006A54E9">
            <w:pPr>
              <w:spacing w:after="0" w:line="240" w:lineRule="auto"/>
              <w:jc w:val="both"/>
              <w:rPr>
                <w:rFonts w:cs="Calibri"/>
                <w:lang w:val="nl-BE"/>
              </w:rPr>
            </w:pPr>
            <w:proofErr w:type="spellStart"/>
            <w:r w:rsidRPr="0073624D">
              <w:t>Geen</w:t>
            </w:r>
            <w:proofErr w:type="spellEnd"/>
            <w:r w:rsidRPr="0073624D">
              <w:t xml:space="preserve"> </w:t>
            </w:r>
            <w:proofErr w:type="spellStart"/>
            <w:r w:rsidRPr="0073624D">
              <w:t>artikel</w:t>
            </w:r>
            <w:proofErr w:type="spellEnd"/>
            <w:r>
              <w:t>.</w:t>
            </w:r>
          </w:p>
        </w:tc>
        <w:tc>
          <w:tcPr>
            <w:tcW w:w="5906" w:type="dxa"/>
            <w:gridSpan w:val="2"/>
            <w:shd w:val="clear" w:color="auto" w:fill="auto"/>
          </w:tcPr>
          <w:p w14:paraId="519C0493" w14:textId="4E87CA6E" w:rsidR="009566E9" w:rsidRPr="00E50B1E" w:rsidRDefault="009566E9" w:rsidP="006A54E9">
            <w:pPr>
              <w:spacing w:after="0" w:line="240" w:lineRule="auto"/>
              <w:jc w:val="both"/>
              <w:rPr>
                <w:rFonts w:cs="Calibri"/>
                <w:lang w:val="fr-BE"/>
              </w:rPr>
            </w:pPr>
            <w:r w:rsidRPr="0073624D">
              <w:t xml:space="preserve">Pas </w:t>
            </w:r>
            <w:proofErr w:type="spellStart"/>
            <w:r w:rsidRPr="0073624D">
              <w:t>d’article</w:t>
            </w:r>
            <w:proofErr w:type="spellEnd"/>
            <w:r>
              <w:t>.</w:t>
            </w:r>
          </w:p>
        </w:tc>
      </w:tr>
      <w:tr w:rsidR="009566E9" w:rsidRPr="00DD5357" w14:paraId="46B0B60D" w14:textId="77777777" w:rsidTr="002B0E49">
        <w:trPr>
          <w:trHeight w:val="456"/>
        </w:trPr>
        <w:tc>
          <w:tcPr>
            <w:tcW w:w="1980" w:type="dxa"/>
          </w:tcPr>
          <w:p w14:paraId="00EC98DD" w14:textId="77777777" w:rsidR="009566E9" w:rsidRPr="00DD5357" w:rsidRDefault="009566E9" w:rsidP="006A54E9">
            <w:pPr>
              <w:spacing w:after="0" w:line="240" w:lineRule="auto"/>
              <w:rPr>
                <w:rFonts w:cs="Calibri"/>
                <w:lang w:val="fr-FR"/>
              </w:rPr>
            </w:pPr>
            <w:proofErr w:type="spellStart"/>
            <w:r>
              <w:rPr>
                <w:rFonts w:cs="Calibri"/>
                <w:lang w:val="fr-FR"/>
              </w:rPr>
              <w:t>Voorontwerp</w:t>
            </w:r>
            <w:proofErr w:type="spellEnd"/>
          </w:p>
        </w:tc>
        <w:tc>
          <w:tcPr>
            <w:tcW w:w="6095" w:type="dxa"/>
            <w:shd w:val="clear" w:color="auto" w:fill="auto"/>
          </w:tcPr>
          <w:p w14:paraId="0FB0F78E" w14:textId="77777777" w:rsidR="009566E9" w:rsidRPr="00DD5357" w:rsidRDefault="009566E9" w:rsidP="006A54E9">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06" w:type="dxa"/>
            <w:gridSpan w:val="2"/>
            <w:shd w:val="clear" w:color="auto" w:fill="auto"/>
          </w:tcPr>
          <w:p w14:paraId="1315CEF1" w14:textId="77777777" w:rsidR="009566E9" w:rsidRPr="00E50B1E" w:rsidRDefault="009566E9" w:rsidP="006A54E9">
            <w:pPr>
              <w:spacing w:after="0" w:line="240" w:lineRule="auto"/>
              <w:jc w:val="both"/>
              <w:rPr>
                <w:rFonts w:cs="Calibri"/>
                <w:lang w:val="fr-BE"/>
              </w:rPr>
            </w:pPr>
            <w:r>
              <w:rPr>
                <w:rFonts w:cs="Calibri"/>
                <w:lang w:val="fr-BE"/>
              </w:rPr>
              <w:t>Pas d’article.</w:t>
            </w:r>
          </w:p>
        </w:tc>
      </w:tr>
      <w:tr w:rsidR="009566E9" w:rsidRPr="002B0E49" w14:paraId="1FA8287F" w14:textId="77777777" w:rsidTr="002B0E49">
        <w:trPr>
          <w:trHeight w:val="274"/>
        </w:trPr>
        <w:tc>
          <w:tcPr>
            <w:tcW w:w="1980" w:type="dxa"/>
          </w:tcPr>
          <w:p w14:paraId="4D0F4954" w14:textId="77777777" w:rsidR="009566E9" w:rsidRPr="0073624D" w:rsidRDefault="009566E9" w:rsidP="006A54E9">
            <w:pPr>
              <w:spacing w:after="0"/>
            </w:pPr>
            <w:bookmarkStart w:id="0" w:name="_GoBack"/>
            <w:bookmarkEnd w:id="0"/>
            <w:proofErr w:type="spellStart"/>
            <w:r>
              <w:t>MvT</w:t>
            </w:r>
            <w:proofErr w:type="spellEnd"/>
          </w:p>
        </w:tc>
        <w:tc>
          <w:tcPr>
            <w:tcW w:w="6095" w:type="dxa"/>
            <w:shd w:val="clear" w:color="auto" w:fill="auto"/>
          </w:tcPr>
          <w:p w14:paraId="5E7CF295" w14:textId="77777777" w:rsidR="009566E9" w:rsidRDefault="009566E9" w:rsidP="006A54E9">
            <w:pPr>
              <w:spacing w:after="0" w:line="240" w:lineRule="auto"/>
              <w:jc w:val="both"/>
              <w:rPr>
                <w:rFonts w:cs="Calibri"/>
                <w:lang w:val="nl-BE"/>
              </w:rPr>
            </w:pPr>
            <w:r w:rsidRPr="00CB04D2">
              <w:rPr>
                <w:rFonts w:cs="Calibri"/>
                <w:lang w:val="nl-BE"/>
              </w:rPr>
              <w:t>De verordening laat het aan de lidstaten om al dan niet rechtspersoonlijkheid te verlenen aan het EESV. De wetgever achtte dit opportuun en voorzag in een bijkomende invulling van de rechtsbekwaamheid (zie artikel 1, tweede lid, EESV-wet</w:t>
            </w:r>
            <w:r>
              <w:rPr>
                <w:rFonts w:cs="Calibri"/>
                <w:lang w:val="nl-BE"/>
              </w:rPr>
              <w:t>).</w:t>
            </w:r>
          </w:p>
          <w:p w14:paraId="7A731A83" w14:textId="77777777" w:rsidR="009566E9" w:rsidRDefault="009566E9" w:rsidP="006A54E9">
            <w:pPr>
              <w:spacing w:after="0" w:line="240" w:lineRule="auto"/>
              <w:jc w:val="both"/>
              <w:rPr>
                <w:rFonts w:cs="Calibri"/>
                <w:lang w:val="nl-BE"/>
              </w:rPr>
            </w:pPr>
          </w:p>
          <w:p w14:paraId="2CCD125F" w14:textId="77777777" w:rsidR="009566E9" w:rsidRPr="00E50B1E" w:rsidRDefault="009566E9" w:rsidP="006A54E9">
            <w:pPr>
              <w:spacing w:after="0" w:line="240" w:lineRule="auto"/>
              <w:jc w:val="both"/>
              <w:rPr>
                <w:rFonts w:cs="Calibri"/>
                <w:lang w:val="nl-BE"/>
              </w:rPr>
            </w:pPr>
            <w:r w:rsidRPr="00CB04D2">
              <w:rPr>
                <w:rFonts w:cs="Calibri"/>
                <w:lang w:val="nl-BE"/>
              </w:rPr>
              <w:t>Deze bepaling herneemt in de hoofdzaak artikel 1, tweede lid, EESV-wet. Het ontworpen artikel werd evenwel terminologisch afgestemd op artikel 9:25 voor de beroepsvereniging waar, uitgezonderd het tweede lid, eenzelfde regel wordt bepaald</w:t>
            </w:r>
            <w:r>
              <w:rPr>
                <w:rFonts w:cs="Calibri"/>
                <w:lang w:val="nl-BE"/>
              </w:rPr>
              <w:t>.</w:t>
            </w:r>
          </w:p>
        </w:tc>
        <w:tc>
          <w:tcPr>
            <w:tcW w:w="5906" w:type="dxa"/>
            <w:gridSpan w:val="2"/>
            <w:shd w:val="clear" w:color="auto" w:fill="auto"/>
          </w:tcPr>
          <w:p w14:paraId="524686E0" w14:textId="77777777" w:rsidR="009566E9" w:rsidRDefault="009566E9" w:rsidP="006A54E9">
            <w:pPr>
              <w:spacing w:after="0" w:line="240" w:lineRule="auto"/>
              <w:jc w:val="both"/>
              <w:rPr>
                <w:rFonts w:cs="Calibri"/>
                <w:lang w:val="fr-BE"/>
              </w:rPr>
            </w:pPr>
            <w:r w:rsidRPr="00CB04D2">
              <w:rPr>
                <w:rFonts w:cs="Calibri"/>
                <w:lang w:val="fr-BE"/>
              </w:rPr>
              <w:t>Le règlement permet aux États membres d’accorder ou non la personnalité juridique au GEIE. Le législateur a estimé ceci opportun et a prévu un complément de la capacité juridique (voir article 1, alinéa 2, loi GEIE</w:t>
            </w:r>
            <w:r>
              <w:rPr>
                <w:rFonts w:cs="Calibri"/>
                <w:lang w:val="fr-BE"/>
              </w:rPr>
              <w:t>).</w:t>
            </w:r>
          </w:p>
          <w:p w14:paraId="76B11A56" w14:textId="77777777" w:rsidR="009566E9" w:rsidRDefault="009566E9" w:rsidP="006A54E9">
            <w:pPr>
              <w:spacing w:after="0" w:line="240" w:lineRule="auto"/>
              <w:jc w:val="both"/>
              <w:rPr>
                <w:rFonts w:cs="Calibri"/>
                <w:lang w:val="fr-BE"/>
              </w:rPr>
            </w:pPr>
          </w:p>
          <w:p w14:paraId="034C42B7" w14:textId="77777777" w:rsidR="009566E9" w:rsidRPr="00E50B1E" w:rsidRDefault="009566E9" w:rsidP="006A54E9">
            <w:pPr>
              <w:spacing w:after="0" w:line="240" w:lineRule="auto"/>
              <w:jc w:val="both"/>
              <w:rPr>
                <w:rFonts w:cs="Calibri"/>
                <w:lang w:val="fr-BE"/>
              </w:rPr>
            </w:pPr>
            <w:r w:rsidRPr="00CB04D2">
              <w:rPr>
                <w:rFonts w:cs="Calibri"/>
                <w:lang w:val="fr-BE"/>
              </w:rPr>
              <w:t>Cette disposition reprend principalement l’article 1</w:t>
            </w:r>
            <w:r w:rsidRPr="00CB04D2">
              <w:rPr>
                <w:rFonts w:cs="Calibri"/>
                <w:vertAlign w:val="superscript"/>
                <w:lang w:val="fr-BE"/>
              </w:rPr>
              <w:t>er</w:t>
            </w:r>
            <w:r w:rsidRPr="00CB04D2">
              <w:rPr>
                <w:rFonts w:cs="Calibri"/>
                <w:lang w:val="fr-BE"/>
              </w:rPr>
              <w:t>, alinéa 2, loi GEIE. Toutefois, l’article en projet a été aligné au niveau terminologique sur l’article 9:25 en ce qui concerne l’association professionnelle pour laquelle une règle identique est fixée, à l’exception de l’alinéa 2</w:t>
            </w:r>
            <w:r>
              <w:rPr>
                <w:rFonts w:cs="Calibri"/>
                <w:lang w:val="fr-BE"/>
              </w:rPr>
              <w:t>.</w:t>
            </w:r>
          </w:p>
        </w:tc>
      </w:tr>
      <w:tr w:rsidR="009566E9" w:rsidRPr="00B6424F" w14:paraId="107744BD" w14:textId="77777777" w:rsidTr="002B0E49">
        <w:trPr>
          <w:trHeight w:val="427"/>
        </w:trPr>
        <w:tc>
          <w:tcPr>
            <w:tcW w:w="1980" w:type="dxa"/>
          </w:tcPr>
          <w:p w14:paraId="11264498" w14:textId="77777777" w:rsidR="009566E9" w:rsidRPr="00B6424F" w:rsidRDefault="009566E9" w:rsidP="006A54E9">
            <w:pPr>
              <w:spacing w:after="0"/>
              <w:rPr>
                <w:lang w:val="fr-FR"/>
              </w:rPr>
            </w:pPr>
            <w:proofErr w:type="spellStart"/>
            <w:r>
              <w:rPr>
                <w:lang w:val="fr-FR"/>
              </w:rPr>
              <w:t>RvSt</w:t>
            </w:r>
            <w:proofErr w:type="spellEnd"/>
          </w:p>
        </w:tc>
        <w:tc>
          <w:tcPr>
            <w:tcW w:w="6095" w:type="dxa"/>
            <w:shd w:val="clear" w:color="auto" w:fill="auto"/>
          </w:tcPr>
          <w:p w14:paraId="04222508" w14:textId="77777777" w:rsidR="009566E9" w:rsidRPr="00B6424F" w:rsidRDefault="009566E9" w:rsidP="006A54E9">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06" w:type="dxa"/>
            <w:gridSpan w:val="2"/>
            <w:shd w:val="clear" w:color="auto" w:fill="auto"/>
          </w:tcPr>
          <w:p w14:paraId="2CF36505" w14:textId="77777777" w:rsidR="009566E9" w:rsidRPr="00CB04D2" w:rsidRDefault="009566E9" w:rsidP="006A54E9">
            <w:pPr>
              <w:spacing w:after="0" w:line="240" w:lineRule="auto"/>
              <w:jc w:val="both"/>
              <w:rPr>
                <w:rFonts w:cs="Calibri"/>
                <w:lang w:val="fr-BE"/>
              </w:rPr>
            </w:pPr>
            <w:r>
              <w:rPr>
                <w:rFonts w:cs="Calibri"/>
                <w:lang w:val="fr-BE"/>
              </w:rPr>
              <w:t>Pas de remarques.</w:t>
            </w:r>
          </w:p>
        </w:tc>
      </w:tr>
      <w:tr w:rsidR="009566E9" w:rsidRPr="002B0E49" w14:paraId="6E1F63B3" w14:textId="77777777" w:rsidTr="002B0E49">
        <w:trPr>
          <w:trHeight w:val="274"/>
        </w:trPr>
        <w:tc>
          <w:tcPr>
            <w:tcW w:w="1980" w:type="dxa"/>
          </w:tcPr>
          <w:p w14:paraId="4A94CAEB" w14:textId="77777777" w:rsidR="009566E9" w:rsidRDefault="009566E9" w:rsidP="006A54E9">
            <w:pPr>
              <w:spacing w:after="0"/>
              <w:rPr>
                <w:lang w:val="fr-FR"/>
              </w:rPr>
            </w:pPr>
            <w:proofErr w:type="spellStart"/>
            <w:r>
              <w:rPr>
                <w:lang w:val="fr-FR"/>
              </w:rPr>
              <w:t>RvSt</w:t>
            </w:r>
            <w:proofErr w:type="spellEnd"/>
            <w:r>
              <w:rPr>
                <w:lang w:val="fr-FR"/>
              </w:rPr>
              <w:t xml:space="preserve"> 2</w:t>
            </w:r>
          </w:p>
        </w:tc>
        <w:tc>
          <w:tcPr>
            <w:tcW w:w="6095" w:type="dxa"/>
            <w:shd w:val="clear" w:color="auto" w:fill="auto"/>
          </w:tcPr>
          <w:p w14:paraId="4939856B" w14:textId="77777777" w:rsidR="009566E9" w:rsidRDefault="009566E9" w:rsidP="006A54E9">
            <w:pPr>
              <w:spacing w:after="0" w:line="240" w:lineRule="auto"/>
              <w:jc w:val="both"/>
              <w:rPr>
                <w:rFonts w:cs="Calibri"/>
                <w:lang w:val="fr-FR"/>
              </w:rPr>
            </w:pPr>
            <w:r w:rsidRPr="00B6424F">
              <w:rPr>
                <w:rFonts w:cs="Calibri"/>
                <w:lang w:val="fr-FR"/>
              </w:rPr>
              <w:t xml:space="preserve">In de </w:t>
            </w:r>
            <w:proofErr w:type="spellStart"/>
            <w:r w:rsidRPr="00B6424F">
              <w:rPr>
                <w:rFonts w:cs="Calibri"/>
                <w:lang w:val="fr-FR"/>
              </w:rPr>
              <w:t>Franse</w:t>
            </w:r>
            <w:proofErr w:type="spellEnd"/>
            <w:r w:rsidRPr="00B6424F">
              <w:rPr>
                <w:rFonts w:cs="Calibri"/>
                <w:lang w:val="fr-FR"/>
              </w:rPr>
              <w:t xml:space="preserve"> </w:t>
            </w:r>
            <w:proofErr w:type="spellStart"/>
            <w:r w:rsidRPr="00B6424F">
              <w:rPr>
                <w:rFonts w:cs="Calibri"/>
                <w:lang w:val="fr-FR"/>
              </w:rPr>
              <w:t>tekst</w:t>
            </w:r>
            <w:proofErr w:type="spellEnd"/>
            <w:r w:rsidRPr="00B6424F">
              <w:rPr>
                <w:rFonts w:cs="Calibri"/>
                <w:lang w:val="fr-FR"/>
              </w:rPr>
              <w:t xml:space="preserve"> </w:t>
            </w:r>
            <w:proofErr w:type="spellStart"/>
            <w:r w:rsidRPr="00B6424F">
              <w:rPr>
                <w:rFonts w:cs="Calibri"/>
                <w:lang w:val="fr-FR"/>
              </w:rPr>
              <w:t>moeten</w:t>
            </w:r>
            <w:proofErr w:type="spellEnd"/>
            <w:r w:rsidRPr="00B6424F">
              <w:rPr>
                <w:rFonts w:cs="Calibri"/>
                <w:lang w:val="fr-FR"/>
              </w:rPr>
              <w:t xml:space="preserve"> de </w:t>
            </w:r>
            <w:proofErr w:type="spellStart"/>
            <w:r w:rsidRPr="00B6424F">
              <w:rPr>
                <w:rFonts w:cs="Calibri"/>
                <w:lang w:val="fr-FR"/>
              </w:rPr>
              <w:t>woorden</w:t>
            </w:r>
            <w:proofErr w:type="spellEnd"/>
            <w:r w:rsidRPr="00B6424F">
              <w:rPr>
                <w:rFonts w:cs="Calibri"/>
                <w:lang w:val="fr-FR"/>
              </w:rPr>
              <w:t xml:space="preserve"> « en cette qualité de membres » </w:t>
            </w:r>
            <w:proofErr w:type="spellStart"/>
            <w:r w:rsidRPr="00B6424F">
              <w:rPr>
                <w:rFonts w:cs="Calibri"/>
                <w:lang w:val="fr-FR"/>
              </w:rPr>
              <w:t>vervangen</w:t>
            </w:r>
            <w:proofErr w:type="spellEnd"/>
            <w:r w:rsidRPr="00B6424F">
              <w:rPr>
                <w:rFonts w:cs="Calibri"/>
                <w:lang w:val="fr-FR"/>
              </w:rPr>
              <w:t xml:space="preserve"> </w:t>
            </w:r>
            <w:proofErr w:type="spellStart"/>
            <w:r w:rsidRPr="00B6424F">
              <w:rPr>
                <w:rFonts w:cs="Calibri"/>
                <w:lang w:val="fr-FR"/>
              </w:rPr>
              <w:t>worden</w:t>
            </w:r>
            <w:proofErr w:type="spellEnd"/>
            <w:r w:rsidRPr="00B6424F">
              <w:rPr>
                <w:rFonts w:cs="Calibri"/>
                <w:lang w:val="fr-FR"/>
              </w:rPr>
              <w:t xml:space="preserve"> </w:t>
            </w:r>
            <w:proofErr w:type="spellStart"/>
            <w:r w:rsidRPr="00B6424F">
              <w:rPr>
                <w:rFonts w:cs="Calibri"/>
                <w:lang w:val="fr-FR"/>
              </w:rPr>
              <w:t>dor</w:t>
            </w:r>
            <w:r>
              <w:rPr>
                <w:rFonts w:cs="Calibri"/>
                <w:lang w:val="fr-FR"/>
              </w:rPr>
              <w:t>o</w:t>
            </w:r>
            <w:proofErr w:type="spellEnd"/>
            <w:r>
              <w:rPr>
                <w:rFonts w:cs="Calibri"/>
                <w:lang w:val="fr-FR"/>
              </w:rPr>
              <w:t xml:space="preserve"> de </w:t>
            </w:r>
            <w:proofErr w:type="spellStart"/>
            <w:r>
              <w:rPr>
                <w:rFonts w:cs="Calibri"/>
                <w:lang w:val="fr-FR"/>
              </w:rPr>
              <w:t>woorden</w:t>
            </w:r>
            <w:proofErr w:type="spellEnd"/>
            <w:r>
              <w:rPr>
                <w:rFonts w:cs="Calibri"/>
                <w:lang w:val="fr-FR"/>
              </w:rPr>
              <w:t xml:space="preserve"> « en cette </w:t>
            </w:r>
            <w:proofErr w:type="gramStart"/>
            <w:r>
              <w:rPr>
                <w:rFonts w:cs="Calibri"/>
                <w:lang w:val="fr-FR"/>
              </w:rPr>
              <w:t>qualité</w:t>
            </w:r>
            <w:r w:rsidRPr="00B6424F">
              <w:rPr>
                <w:rFonts w:cs="Calibri"/>
                <w:lang w:val="fr-FR"/>
              </w:rPr>
              <w:t>»</w:t>
            </w:r>
            <w:proofErr w:type="gramEnd"/>
            <w:r w:rsidRPr="00B6424F">
              <w:rPr>
                <w:rFonts w:cs="Calibri"/>
                <w:lang w:val="fr-FR"/>
              </w:rPr>
              <w:t>.</w:t>
            </w:r>
          </w:p>
        </w:tc>
        <w:tc>
          <w:tcPr>
            <w:tcW w:w="5906" w:type="dxa"/>
            <w:gridSpan w:val="2"/>
            <w:shd w:val="clear" w:color="auto" w:fill="auto"/>
          </w:tcPr>
          <w:p w14:paraId="3EC030DD" w14:textId="77777777" w:rsidR="009566E9" w:rsidRDefault="009566E9" w:rsidP="006A54E9">
            <w:pPr>
              <w:spacing w:after="0" w:line="240" w:lineRule="auto"/>
              <w:jc w:val="both"/>
              <w:rPr>
                <w:rFonts w:cs="Calibri"/>
                <w:lang w:val="fr-BE"/>
              </w:rPr>
            </w:pPr>
            <w:r w:rsidRPr="00B6424F">
              <w:rPr>
                <w:rFonts w:cs="Calibri"/>
                <w:lang w:val="fr-BE"/>
              </w:rPr>
              <w:t>Dans le texte français, les mots « en cette qualité de membres » seront remplacés par les mots « en cette qualité ».</w:t>
            </w:r>
          </w:p>
        </w:tc>
      </w:tr>
    </w:tbl>
    <w:p w14:paraId="4540CCED" w14:textId="77777777" w:rsidR="00A820D7" w:rsidRPr="00B6424F" w:rsidRDefault="00A820D7">
      <w:pPr>
        <w:rPr>
          <w:lang w:val="fr-FR"/>
        </w:rPr>
      </w:pPr>
    </w:p>
    <w:sectPr w:rsidR="00A820D7" w:rsidRPr="00B6424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164B"/>
    <w:multiLevelType w:val="hybridMultilevel"/>
    <w:tmpl w:val="36109672"/>
    <w:lvl w:ilvl="0" w:tplc="782E0620">
      <w:start w:val="1"/>
      <w:numFmt w:val="decimal"/>
      <w:pStyle w:val="151NL"/>
      <w:lvlText w:val="Art. 15:%1."/>
      <w:lvlJc w:val="left"/>
      <w:pPr>
        <w:ind w:left="2629" w:hanging="360"/>
      </w:pPr>
      <w:rPr>
        <w:rFonts w:ascii="Palatino Linotype" w:hAnsi="Palatino Linotype" w:hint="default"/>
        <w:b w:val="0"/>
        <w:i w:val="0"/>
        <w:color w:val="0000FF"/>
        <w:sz w:val="2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93AAC"/>
    <w:rsid w:val="000B17B4"/>
    <w:rsid w:val="000D6A2A"/>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1F57D8"/>
    <w:rsid w:val="00210D98"/>
    <w:rsid w:val="0021135B"/>
    <w:rsid w:val="00213D83"/>
    <w:rsid w:val="00214ADA"/>
    <w:rsid w:val="00216A35"/>
    <w:rsid w:val="002337A0"/>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0E49"/>
    <w:rsid w:val="002B14C4"/>
    <w:rsid w:val="002B3F2F"/>
    <w:rsid w:val="002C622E"/>
    <w:rsid w:val="002D76A6"/>
    <w:rsid w:val="002E665B"/>
    <w:rsid w:val="002F7950"/>
    <w:rsid w:val="00300B84"/>
    <w:rsid w:val="00302A76"/>
    <w:rsid w:val="00306533"/>
    <w:rsid w:val="00306738"/>
    <w:rsid w:val="003163DB"/>
    <w:rsid w:val="00320BF4"/>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E76C0"/>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54E9"/>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6A52"/>
    <w:rsid w:val="00736D86"/>
    <w:rsid w:val="00741F2C"/>
    <w:rsid w:val="00741F55"/>
    <w:rsid w:val="007463B2"/>
    <w:rsid w:val="007524C0"/>
    <w:rsid w:val="007532BF"/>
    <w:rsid w:val="00792C53"/>
    <w:rsid w:val="007A1FD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566E9"/>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6424F"/>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4014C"/>
    <w:rsid w:val="00C47A8C"/>
    <w:rsid w:val="00C509F8"/>
    <w:rsid w:val="00C52F6F"/>
    <w:rsid w:val="00C65CB4"/>
    <w:rsid w:val="00C72E4C"/>
    <w:rsid w:val="00C80883"/>
    <w:rsid w:val="00C80921"/>
    <w:rsid w:val="00C86467"/>
    <w:rsid w:val="00C86CC5"/>
    <w:rsid w:val="00C91A38"/>
    <w:rsid w:val="00C9498E"/>
    <w:rsid w:val="00CA1557"/>
    <w:rsid w:val="00CA5454"/>
    <w:rsid w:val="00CB08CB"/>
    <w:rsid w:val="00CB210A"/>
    <w:rsid w:val="00CB3250"/>
    <w:rsid w:val="00CB6FFB"/>
    <w:rsid w:val="00CC6422"/>
    <w:rsid w:val="00CF7AC1"/>
    <w:rsid w:val="00D102E1"/>
    <w:rsid w:val="00D134F7"/>
    <w:rsid w:val="00D22227"/>
    <w:rsid w:val="00D42D9B"/>
    <w:rsid w:val="00D46773"/>
    <w:rsid w:val="00D637E1"/>
    <w:rsid w:val="00D66D82"/>
    <w:rsid w:val="00D751E3"/>
    <w:rsid w:val="00D76CDC"/>
    <w:rsid w:val="00D8405B"/>
    <w:rsid w:val="00D931FB"/>
    <w:rsid w:val="00D96002"/>
    <w:rsid w:val="00DA0AF3"/>
    <w:rsid w:val="00DB5C97"/>
    <w:rsid w:val="00DD5357"/>
    <w:rsid w:val="00DD79BB"/>
    <w:rsid w:val="00DE1FCC"/>
    <w:rsid w:val="00E1207A"/>
    <w:rsid w:val="00E15370"/>
    <w:rsid w:val="00E15CFE"/>
    <w:rsid w:val="00E21F8D"/>
    <w:rsid w:val="00E26DE4"/>
    <w:rsid w:val="00E511E0"/>
    <w:rsid w:val="00E53C0F"/>
    <w:rsid w:val="00E719D5"/>
    <w:rsid w:val="00E72BF6"/>
    <w:rsid w:val="00E85F7D"/>
    <w:rsid w:val="00E92F68"/>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A82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 w:type="paragraph" w:customStyle="1" w:styleId="151NL">
    <w:name w:val="15:1 NL"/>
    <w:basedOn w:val="Standaard"/>
    <w:link w:val="151NLChar"/>
    <w:qFormat/>
    <w:rsid w:val="001F57D8"/>
    <w:pPr>
      <w:numPr>
        <w:numId w:val="1"/>
      </w:numPr>
      <w:tabs>
        <w:tab w:val="left" w:pos="992"/>
      </w:tabs>
      <w:spacing w:after="0" w:line="240" w:lineRule="auto"/>
      <w:ind w:left="0" w:firstLine="0"/>
      <w:jc w:val="both"/>
    </w:pPr>
    <w:rPr>
      <w:rFonts w:ascii="Palatino Linotype" w:eastAsia="Times New Roman" w:hAnsi="Palatino Linotype" w:cs="Times New Roman"/>
      <w:sz w:val="20"/>
      <w:szCs w:val="20"/>
      <w:lang w:val="fr-FR"/>
    </w:rPr>
  </w:style>
  <w:style w:type="character" w:customStyle="1" w:styleId="151NLChar">
    <w:name w:val="15:1 NL Char"/>
    <w:basedOn w:val="Standaardalinea-lettertype"/>
    <w:link w:val="151NL"/>
    <w:rsid w:val="001F57D8"/>
    <w:rPr>
      <w:rFonts w:ascii="Palatino Linotype" w:eastAsia="Times New Roman" w:hAnsi="Palatino Linotype"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2021-08-17T07:00:00Z</dcterms:created>
  <dcterms:modified xsi:type="dcterms:W3CDTF">2022-02-07T15:57:00Z</dcterms:modified>
</cp:coreProperties>
</file>