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387"/>
        <w:gridCol w:w="283"/>
      </w:tblGrid>
      <w:tr w:rsidR="00184C13" w:rsidRPr="00184C13" w14:paraId="421689B9" w14:textId="77777777" w:rsidTr="00184C13">
        <w:tc>
          <w:tcPr>
            <w:tcW w:w="13462" w:type="dxa"/>
            <w:gridSpan w:val="3"/>
          </w:tcPr>
          <w:p w14:paraId="586E8CC4" w14:textId="77777777" w:rsidR="00184C13" w:rsidRDefault="00184C13" w:rsidP="0064351D">
            <w:pPr>
              <w:rPr>
                <w:b/>
                <w:sz w:val="32"/>
                <w:szCs w:val="32"/>
                <w:lang w:val="nl-BE"/>
              </w:rPr>
            </w:pPr>
            <w:r>
              <w:rPr>
                <w:b/>
                <w:sz w:val="32"/>
                <w:szCs w:val="32"/>
                <w:lang w:val="nl-BE"/>
              </w:rPr>
              <w:t>Titel 2. – S</w:t>
            </w:r>
            <w:r w:rsidRPr="00184C13">
              <w:rPr>
                <w:b/>
                <w:sz w:val="32"/>
                <w:szCs w:val="32"/>
                <w:lang w:val="nl-BE"/>
              </w:rPr>
              <w:t>ociaalrechtelijke bepaling.</w:t>
            </w:r>
          </w:p>
        </w:tc>
        <w:tc>
          <w:tcPr>
            <w:tcW w:w="283" w:type="dxa"/>
            <w:shd w:val="clear" w:color="auto" w:fill="auto"/>
          </w:tcPr>
          <w:p w14:paraId="241B303E" w14:textId="77777777" w:rsidR="00184C13" w:rsidRPr="007B17CA" w:rsidRDefault="00184C13" w:rsidP="0064351D">
            <w:pPr>
              <w:jc w:val="center"/>
              <w:rPr>
                <w:rFonts w:ascii="Cambria" w:eastAsia="Calibri" w:hAnsi="Cambria" w:cs="Times New Roman"/>
                <w:b/>
                <w:bCs/>
                <w:color w:val="4F81BD"/>
                <w:sz w:val="32"/>
                <w:szCs w:val="26"/>
                <w:lang w:val="nl-NL" w:eastAsia="fr-FR"/>
              </w:rPr>
            </w:pPr>
          </w:p>
        </w:tc>
      </w:tr>
      <w:tr w:rsidR="00EF0EE6" w:rsidRPr="00184C13" w14:paraId="14D94CB4" w14:textId="77777777" w:rsidTr="00184C13">
        <w:tc>
          <w:tcPr>
            <w:tcW w:w="13462" w:type="dxa"/>
            <w:gridSpan w:val="3"/>
          </w:tcPr>
          <w:p w14:paraId="75AE57D1" w14:textId="77777777" w:rsidR="00EF0EE6" w:rsidRDefault="00EF0EE6" w:rsidP="0064351D">
            <w:pPr>
              <w:rPr>
                <w:b/>
                <w:sz w:val="32"/>
                <w:szCs w:val="32"/>
                <w:lang w:val="nl-BE"/>
              </w:rPr>
            </w:pPr>
          </w:p>
        </w:tc>
        <w:tc>
          <w:tcPr>
            <w:tcW w:w="283" w:type="dxa"/>
            <w:shd w:val="clear" w:color="auto" w:fill="auto"/>
          </w:tcPr>
          <w:p w14:paraId="3C6BF66B" w14:textId="77777777" w:rsidR="00EF0EE6" w:rsidRPr="007B17CA" w:rsidRDefault="00EF0EE6" w:rsidP="0064351D">
            <w:pPr>
              <w:jc w:val="center"/>
              <w:rPr>
                <w:rFonts w:ascii="Cambria" w:eastAsia="Calibri" w:hAnsi="Cambria" w:cs="Times New Roman"/>
                <w:b/>
                <w:bCs/>
                <w:color w:val="4F81BD"/>
                <w:sz w:val="32"/>
                <w:szCs w:val="26"/>
                <w:lang w:val="nl-NL" w:eastAsia="fr-FR"/>
              </w:rPr>
            </w:pPr>
          </w:p>
        </w:tc>
      </w:tr>
      <w:tr w:rsidR="00184C13" w:rsidRPr="004F5A74" w14:paraId="3504D832" w14:textId="77777777" w:rsidTr="004F5A74">
        <w:trPr>
          <w:trHeight w:val="661"/>
        </w:trPr>
        <w:tc>
          <w:tcPr>
            <w:tcW w:w="2122" w:type="dxa"/>
          </w:tcPr>
          <w:p w14:paraId="6F604318" w14:textId="77777777" w:rsidR="00184C13" w:rsidRDefault="00184C13" w:rsidP="0064351D">
            <w:pPr>
              <w:spacing w:after="0" w:line="240" w:lineRule="auto"/>
              <w:rPr>
                <w:rFonts w:cs="Calibri"/>
                <w:lang w:val="nl-BE"/>
              </w:rPr>
            </w:pPr>
            <w:r>
              <w:rPr>
                <w:rFonts w:cs="Calibri"/>
                <w:lang w:val="nl-BE"/>
              </w:rPr>
              <w:t>RvSt 2</w:t>
            </w:r>
          </w:p>
        </w:tc>
        <w:tc>
          <w:tcPr>
            <w:tcW w:w="5953" w:type="dxa"/>
            <w:shd w:val="clear" w:color="auto" w:fill="auto"/>
          </w:tcPr>
          <w:p w14:paraId="5AFAE847" w14:textId="77777777" w:rsidR="00184C13" w:rsidRDefault="00184C13" w:rsidP="0064351D">
            <w:pPr>
              <w:spacing w:after="0" w:line="240" w:lineRule="auto"/>
              <w:jc w:val="both"/>
              <w:rPr>
                <w:rFonts w:cs="Calibri"/>
                <w:lang w:val="nl-BE"/>
              </w:rPr>
            </w:pPr>
            <w:r w:rsidRPr="00184C13">
              <w:rPr>
                <w:rFonts w:cs="Calibri"/>
                <w:lang w:val="nl-BE"/>
              </w:rPr>
              <w:t>In de Franse tekst moet het opschrift vervangen worden door de woorden “Disposition de droit social”.</w:t>
            </w:r>
          </w:p>
        </w:tc>
        <w:tc>
          <w:tcPr>
            <w:tcW w:w="5670" w:type="dxa"/>
            <w:gridSpan w:val="2"/>
            <w:shd w:val="clear" w:color="auto" w:fill="auto"/>
          </w:tcPr>
          <w:p w14:paraId="66ADCFAC" w14:textId="77777777" w:rsidR="00184C13" w:rsidRPr="00184C13" w:rsidRDefault="00184C13" w:rsidP="0064351D">
            <w:pPr>
              <w:spacing w:after="0" w:line="240" w:lineRule="auto"/>
              <w:jc w:val="both"/>
              <w:rPr>
                <w:rFonts w:cs="Calibri"/>
                <w:lang w:val="fr-FR"/>
              </w:rPr>
            </w:pPr>
            <w:r w:rsidRPr="00184C13">
              <w:rPr>
                <w:rFonts w:cs="Calibri"/>
                <w:lang w:val="fr-FR"/>
              </w:rPr>
              <w:t>Dans le texte français, l’intitulé sera remplacé par les mots « Dispositions de droit social ».</w:t>
            </w:r>
          </w:p>
        </w:tc>
      </w:tr>
      <w:tr w:rsidR="001203BA" w:rsidRPr="00184C13" w14:paraId="0C279168" w14:textId="77777777" w:rsidTr="0064351D">
        <w:tc>
          <w:tcPr>
            <w:tcW w:w="2122" w:type="dxa"/>
          </w:tcPr>
          <w:p w14:paraId="15E6C06C" w14:textId="77777777" w:rsidR="001203BA" w:rsidRPr="00B07AC9" w:rsidRDefault="00D134F7" w:rsidP="0064351D">
            <w:pPr>
              <w:rPr>
                <w:b/>
                <w:sz w:val="32"/>
                <w:szCs w:val="32"/>
                <w:lang w:val="nl-BE"/>
              </w:rPr>
            </w:pPr>
            <w:r>
              <w:rPr>
                <w:b/>
                <w:sz w:val="32"/>
                <w:szCs w:val="32"/>
                <w:lang w:val="nl-BE"/>
              </w:rPr>
              <w:t>ARTIKEL 18</w:t>
            </w:r>
            <w:r w:rsidR="005A767C">
              <w:rPr>
                <w:b/>
                <w:sz w:val="32"/>
                <w:szCs w:val="32"/>
                <w:lang w:val="nl-BE"/>
              </w:rPr>
              <w:t>:7</w:t>
            </w:r>
          </w:p>
        </w:tc>
        <w:tc>
          <w:tcPr>
            <w:tcW w:w="11623" w:type="dxa"/>
            <w:gridSpan w:val="3"/>
            <w:shd w:val="clear" w:color="auto" w:fill="auto"/>
          </w:tcPr>
          <w:p w14:paraId="5070A2EF" w14:textId="77777777" w:rsidR="001203BA" w:rsidRPr="007B17CA" w:rsidRDefault="001203BA" w:rsidP="0064351D">
            <w:pPr>
              <w:spacing w:after="0"/>
              <w:jc w:val="center"/>
              <w:rPr>
                <w:rFonts w:ascii="Cambria" w:eastAsia="Calibri" w:hAnsi="Cambria" w:cs="Times New Roman"/>
                <w:b/>
                <w:bCs/>
                <w:color w:val="4F81BD"/>
                <w:sz w:val="32"/>
                <w:szCs w:val="26"/>
                <w:lang w:val="nl-NL" w:eastAsia="fr-FR"/>
              </w:rPr>
            </w:pPr>
          </w:p>
        </w:tc>
      </w:tr>
      <w:tr w:rsidR="00322A63" w:rsidRPr="00184C13" w14:paraId="7362E563" w14:textId="77777777" w:rsidTr="0064351D">
        <w:tc>
          <w:tcPr>
            <w:tcW w:w="2122" w:type="dxa"/>
          </w:tcPr>
          <w:p w14:paraId="6501E971" w14:textId="77777777" w:rsidR="00322A63" w:rsidRPr="00184C13" w:rsidRDefault="00322A63" w:rsidP="0064351D">
            <w:pPr>
              <w:rPr>
                <w:b/>
                <w:sz w:val="32"/>
                <w:szCs w:val="32"/>
                <w:lang w:val="fr-FR"/>
              </w:rPr>
            </w:pPr>
          </w:p>
        </w:tc>
        <w:tc>
          <w:tcPr>
            <w:tcW w:w="11623" w:type="dxa"/>
            <w:gridSpan w:val="3"/>
            <w:shd w:val="clear" w:color="auto" w:fill="auto"/>
          </w:tcPr>
          <w:p w14:paraId="156589C4" w14:textId="77777777" w:rsidR="00322A63" w:rsidRPr="00184C13" w:rsidRDefault="00322A63" w:rsidP="0064351D">
            <w:pPr>
              <w:spacing w:after="0"/>
              <w:jc w:val="center"/>
              <w:rPr>
                <w:rFonts w:ascii="Cambria" w:eastAsia="Calibri" w:hAnsi="Cambria" w:cs="Times New Roman"/>
                <w:b/>
                <w:bCs/>
                <w:color w:val="4F81BD"/>
                <w:sz w:val="32"/>
                <w:szCs w:val="26"/>
                <w:lang w:val="fr-FR" w:eastAsia="fr-FR"/>
              </w:rPr>
            </w:pPr>
          </w:p>
        </w:tc>
      </w:tr>
      <w:tr w:rsidR="005A767C" w:rsidRPr="00AE14E0" w14:paraId="50EB8D2C" w14:textId="77777777" w:rsidTr="004F5A74">
        <w:trPr>
          <w:trHeight w:val="2347"/>
        </w:trPr>
        <w:tc>
          <w:tcPr>
            <w:tcW w:w="2122" w:type="dxa"/>
          </w:tcPr>
          <w:p w14:paraId="34070838" w14:textId="77777777" w:rsidR="005A767C" w:rsidRDefault="005A767C" w:rsidP="0064351D">
            <w:pPr>
              <w:spacing w:after="0" w:line="240" w:lineRule="auto"/>
              <w:rPr>
                <w:rFonts w:cs="Calibri"/>
                <w:lang w:val="nl-BE"/>
              </w:rPr>
            </w:pPr>
            <w:r>
              <w:rPr>
                <w:rFonts w:cs="Calibri"/>
                <w:lang w:val="nl-BE"/>
              </w:rPr>
              <w:t>WVV</w:t>
            </w:r>
          </w:p>
        </w:tc>
        <w:tc>
          <w:tcPr>
            <w:tcW w:w="5953" w:type="dxa"/>
            <w:shd w:val="clear" w:color="auto" w:fill="auto"/>
          </w:tcPr>
          <w:p w14:paraId="0CD30C90" w14:textId="77777777" w:rsidR="005A767C" w:rsidRDefault="005A767C" w:rsidP="0064351D">
            <w:pPr>
              <w:spacing w:after="0" w:line="240" w:lineRule="auto"/>
              <w:jc w:val="both"/>
              <w:rPr>
                <w:rFonts w:cs="Calibri"/>
                <w:lang w:val="nl-BE"/>
              </w:rPr>
            </w:pPr>
            <w:r w:rsidRPr="00CB04D2">
              <w:rPr>
                <w:rFonts w:cs="Calibri"/>
                <w:lang w:val="nl-BE"/>
              </w:rPr>
              <w:t>De ondernemingen die over een ondernemingsraad beschikken en lid zijn van een Europees economisch samenwerkingsverband zijn ertoe gehouden hun ondernemingsraad de inlichtingen te verstrekken met betrekking tot het Europees economisch samenwerkingsverband waarvan zij deel uitmaken, zoals die zijn bepaald in de artikelen 5, 8, 11 en 14 van het koninklijk besluit van 27 november 1973 houdende reglementering van de economische en financiële inlichtingen te verstrekken aan de ondernemingsraden</w:t>
            </w:r>
            <w:r>
              <w:rPr>
                <w:rFonts w:cs="Calibri"/>
                <w:lang w:val="nl-BE"/>
              </w:rPr>
              <w:t>.</w:t>
            </w:r>
          </w:p>
        </w:tc>
        <w:tc>
          <w:tcPr>
            <w:tcW w:w="5670" w:type="dxa"/>
            <w:gridSpan w:val="2"/>
            <w:shd w:val="clear" w:color="auto" w:fill="auto"/>
          </w:tcPr>
          <w:p w14:paraId="179596FA" w14:textId="77777777" w:rsidR="005A767C" w:rsidRPr="005A767C" w:rsidRDefault="005A767C" w:rsidP="0064351D">
            <w:pPr>
              <w:spacing w:after="0" w:line="240" w:lineRule="auto"/>
              <w:jc w:val="both"/>
              <w:rPr>
                <w:rFonts w:cs="Calibri"/>
                <w:lang w:val="fr-FR"/>
              </w:rPr>
            </w:pPr>
            <w:r w:rsidRPr="00CB04D2">
              <w:rPr>
                <w:rFonts w:cs="Calibri"/>
                <w:lang w:val="fr-BE"/>
              </w:rPr>
              <w:t>Les entreprises disposant d'un conseil d'entreprise, membres d'un groupement européen d'intérêt économique, sont tenues de fournir à leur conseil d'entreprise les informations relatives au groupement  européen d'intérêt économique dont elles sont membres telles qu'elles sont définies aux articles 5, 8, 11 et 14 de l'arrêté royal du 27 novembre 1973 portant réglementation des informations économiques et financières à fournir aux conseils d'entreprise</w:t>
            </w:r>
            <w:r>
              <w:rPr>
                <w:rFonts w:cs="Calibri"/>
                <w:lang w:val="fr-BE"/>
              </w:rPr>
              <w:t>.</w:t>
            </w:r>
          </w:p>
          <w:p w14:paraId="60CDC42B" w14:textId="77777777" w:rsidR="005A767C" w:rsidRDefault="005A767C" w:rsidP="0064351D">
            <w:pPr>
              <w:spacing w:after="0" w:line="240" w:lineRule="auto"/>
              <w:jc w:val="both"/>
              <w:rPr>
                <w:rFonts w:cs="Calibri"/>
                <w:lang w:val="fr-BE"/>
              </w:rPr>
            </w:pPr>
          </w:p>
        </w:tc>
      </w:tr>
      <w:tr w:rsidR="00AE14E0" w:rsidRPr="00AE14E0" w14:paraId="1D418225" w14:textId="77777777" w:rsidTr="00AE14E0">
        <w:trPr>
          <w:trHeight w:val="437"/>
        </w:trPr>
        <w:tc>
          <w:tcPr>
            <w:tcW w:w="2122" w:type="dxa"/>
          </w:tcPr>
          <w:p w14:paraId="0DF23374" w14:textId="5D39D01C" w:rsidR="00AE14E0" w:rsidRDefault="00AE14E0" w:rsidP="0064351D">
            <w:pPr>
              <w:spacing w:after="0" w:line="240" w:lineRule="auto"/>
              <w:rPr>
                <w:rFonts w:cs="Calibri"/>
                <w:lang w:val="nl-BE"/>
              </w:rPr>
            </w:pPr>
            <w:proofErr w:type="spellStart"/>
            <w:r w:rsidRPr="00A64316">
              <w:t>Ontwerp</w:t>
            </w:r>
            <w:proofErr w:type="spellEnd"/>
          </w:p>
        </w:tc>
        <w:tc>
          <w:tcPr>
            <w:tcW w:w="5953" w:type="dxa"/>
            <w:shd w:val="clear" w:color="auto" w:fill="auto"/>
          </w:tcPr>
          <w:p w14:paraId="1FACAEFA" w14:textId="0DF1B2CB" w:rsidR="00AE14E0" w:rsidRPr="00CB04D2" w:rsidRDefault="00AE14E0" w:rsidP="0064351D">
            <w:pPr>
              <w:spacing w:after="0" w:line="240" w:lineRule="auto"/>
              <w:jc w:val="both"/>
              <w:rPr>
                <w:rFonts w:cs="Calibri"/>
                <w:lang w:val="nl-BE"/>
              </w:rPr>
            </w:pPr>
            <w:proofErr w:type="spellStart"/>
            <w:r w:rsidRPr="00A64316">
              <w:t>Geen</w:t>
            </w:r>
            <w:proofErr w:type="spellEnd"/>
            <w:r w:rsidRPr="00A64316">
              <w:t xml:space="preserve"> </w:t>
            </w:r>
            <w:proofErr w:type="spellStart"/>
            <w:r w:rsidRPr="00A64316">
              <w:t>artikel</w:t>
            </w:r>
            <w:proofErr w:type="spellEnd"/>
            <w:r>
              <w:t>.</w:t>
            </w:r>
          </w:p>
        </w:tc>
        <w:tc>
          <w:tcPr>
            <w:tcW w:w="5670" w:type="dxa"/>
            <w:gridSpan w:val="2"/>
            <w:shd w:val="clear" w:color="auto" w:fill="auto"/>
          </w:tcPr>
          <w:p w14:paraId="3EC16B63" w14:textId="0C64C973" w:rsidR="00AE14E0" w:rsidRPr="00CB04D2" w:rsidRDefault="00AE14E0" w:rsidP="0064351D">
            <w:pPr>
              <w:spacing w:after="0" w:line="240" w:lineRule="auto"/>
              <w:jc w:val="both"/>
              <w:rPr>
                <w:rFonts w:cs="Calibri"/>
                <w:lang w:val="fr-BE"/>
              </w:rPr>
            </w:pPr>
            <w:r w:rsidRPr="00A64316">
              <w:t xml:space="preserve">Pas </w:t>
            </w:r>
            <w:proofErr w:type="spellStart"/>
            <w:r w:rsidRPr="00A64316">
              <w:t>d’article</w:t>
            </w:r>
            <w:proofErr w:type="spellEnd"/>
            <w:r>
              <w:t>.</w:t>
            </w:r>
          </w:p>
        </w:tc>
      </w:tr>
      <w:tr w:rsidR="00AE14E0" w:rsidRPr="000D5983" w14:paraId="6799CCA2" w14:textId="77777777" w:rsidTr="004F5A74">
        <w:trPr>
          <w:trHeight w:val="459"/>
        </w:trPr>
        <w:tc>
          <w:tcPr>
            <w:tcW w:w="2122" w:type="dxa"/>
          </w:tcPr>
          <w:p w14:paraId="7793ABDF" w14:textId="77777777" w:rsidR="00AE14E0" w:rsidRPr="000D5983" w:rsidRDefault="00AE14E0" w:rsidP="0064351D">
            <w:pPr>
              <w:spacing w:after="0" w:line="240" w:lineRule="auto"/>
              <w:rPr>
                <w:rFonts w:cs="Calibri"/>
                <w:lang w:val="fr-FR"/>
              </w:rPr>
            </w:pPr>
            <w:proofErr w:type="spellStart"/>
            <w:r>
              <w:rPr>
                <w:rFonts w:cs="Calibri"/>
                <w:lang w:val="fr-FR"/>
              </w:rPr>
              <w:t>Voorontwerp</w:t>
            </w:r>
            <w:proofErr w:type="spellEnd"/>
          </w:p>
        </w:tc>
        <w:tc>
          <w:tcPr>
            <w:tcW w:w="5953" w:type="dxa"/>
            <w:shd w:val="clear" w:color="auto" w:fill="auto"/>
          </w:tcPr>
          <w:p w14:paraId="77357083" w14:textId="77777777" w:rsidR="00AE14E0" w:rsidRPr="000D5983" w:rsidRDefault="00AE14E0" w:rsidP="0064351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670" w:type="dxa"/>
            <w:gridSpan w:val="2"/>
            <w:shd w:val="clear" w:color="auto" w:fill="auto"/>
          </w:tcPr>
          <w:p w14:paraId="582A3E03" w14:textId="77777777" w:rsidR="00AE14E0" w:rsidRPr="00CB04D2" w:rsidRDefault="00AE14E0" w:rsidP="0064351D">
            <w:pPr>
              <w:spacing w:after="0" w:line="240" w:lineRule="auto"/>
              <w:jc w:val="both"/>
              <w:rPr>
                <w:rFonts w:cs="Calibri"/>
                <w:lang w:val="fr-BE"/>
              </w:rPr>
            </w:pPr>
            <w:r>
              <w:rPr>
                <w:rFonts w:cs="Calibri"/>
                <w:lang w:val="fr-BE"/>
              </w:rPr>
              <w:t>Pas d’article.</w:t>
            </w:r>
          </w:p>
        </w:tc>
      </w:tr>
      <w:tr w:rsidR="00AE14E0" w:rsidRPr="004F5A74" w14:paraId="0B50254B" w14:textId="77777777" w:rsidTr="004F5A74">
        <w:trPr>
          <w:trHeight w:val="416"/>
        </w:trPr>
        <w:tc>
          <w:tcPr>
            <w:tcW w:w="2122" w:type="dxa"/>
          </w:tcPr>
          <w:p w14:paraId="47E10F46" w14:textId="77777777" w:rsidR="00AE14E0" w:rsidRPr="00A64316" w:rsidRDefault="00AE14E0" w:rsidP="0064351D">
            <w:pPr>
              <w:spacing w:after="0"/>
            </w:pPr>
            <w:bookmarkStart w:id="0" w:name="_GoBack"/>
            <w:bookmarkEnd w:id="0"/>
            <w:proofErr w:type="spellStart"/>
            <w:r>
              <w:t>MvT</w:t>
            </w:r>
            <w:proofErr w:type="spellEnd"/>
          </w:p>
        </w:tc>
        <w:tc>
          <w:tcPr>
            <w:tcW w:w="5953" w:type="dxa"/>
            <w:shd w:val="clear" w:color="auto" w:fill="auto"/>
          </w:tcPr>
          <w:p w14:paraId="2013D463" w14:textId="77777777" w:rsidR="00AE14E0" w:rsidRPr="00184C13" w:rsidRDefault="00AE14E0" w:rsidP="0064351D">
            <w:pPr>
              <w:spacing w:after="0"/>
              <w:rPr>
                <w:lang w:val="nl-BE"/>
              </w:rPr>
            </w:pPr>
            <w:r w:rsidRPr="00184C13">
              <w:rPr>
                <w:lang w:val="nl-BE"/>
              </w:rPr>
              <w:t>Deze bepaling herneemt artikel 11 EESV-wet.</w:t>
            </w:r>
          </w:p>
        </w:tc>
        <w:tc>
          <w:tcPr>
            <w:tcW w:w="5670" w:type="dxa"/>
            <w:gridSpan w:val="2"/>
            <w:shd w:val="clear" w:color="auto" w:fill="auto"/>
          </w:tcPr>
          <w:p w14:paraId="33C79948" w14:textId="77777777" w:rsidR="00AE14E0" w:rsidRPr="00184C13" w:rsidRDefault="00AE14E0" w:rsidP="0064351D">
            <w:pPr>
              <w:spacing w:after="0"/>
              <w:rPr>
                <w:lang w:val="fr-FR"/>
              </w:rPr>
            </w:pPr>
            <w:r w:rsidRPr="00184C13">
              <w:rPr>
                <w:lang w:val="fr-FR"/>
              </w:rPr>
              <w:t>Cette disposition reprend l’article 11 de la loi GEIE.</w:t>
            </w:r>
          </w:p>
        </w:tc>
      </w:tr>
      <w:tr w:rsidR="00AE14E0" w:rsidRPr="00184C13" w14:paraId="5BE42DD6" w14:textId="77777777" w:rsidTr="004F5A74">
        <w:trPr>
          <w:trHeight w:val="416"/>
        </w:trPr>
        <w:tc>
          <w:tcPr>
            <w:tcW w:w="2122" w:type="dxa"/>
          </w:tcPr>
          <w:p w14:paraId="1CB36253" w14:textId="77777777" w:rsidR="00AE14E0" w:rsidRPr="00184C13" w:rsidRDefault="00AE14E0" w:rsidP="0064351D">
            <w:pPr>
              <w:spacing w:after="0"/>
              <w:rPr>
                <w:lang w:val="fr-FR"/>
              </w:rPr>
            </w:pPr>
            <w:proofErr w:type="spellStart"/>
            <w:r>
              <w:rPr>
                <w:lang w:val="fr-FR"/>
              </w:rPr>
              <w:t>RvSt</w:t>
            </w:r>
            <w:proofErr w:type="spellEnd"/>
          </w:p>
        </w:tc>
        <w:tc>
          <w:tcPr>
            <w:tcW w:w="5953" w:type="dxa"/>
            <w:shd w:val="clear" w:color="auto" w:fill="auto"/>
          </w:tcPr>
          <w:p w14:paraId="28CFC6D9" w14:textId="77777777" w:rsidR="00AE14E0" w:rsidRPr="00184C13" w:rsidRDefault="00AE14E0" w:rsidP="0064351D">
            <w:pPr>
              <w:spacing w:after="0"/>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670" w:type="dxa"/>
            <w:gridSpan w:val="2"/>
            <w:shd w:val="clear" w:color="auto" w:fill="auto"/>
          </w:tcPr>
          <w:p w14:paraId="460C2B41" w14:textId="77777777" w:rsidR="00AE14E0" w:rsidRPr="00184C13" w:rsidRDefault="00AE14E0" w:rsidP="0064351D">
            <w:pPr>
              <w:spacing w:after="0"/>
              <w:rPr>
                <w:lang w:val="fr-FR"/>
              </w:rPr>
            </w:pPr>
            <w:r>
              <w:rPr>
                <w:lang w:val="fr-FR"/>
              </w:rPr>
              <w:t>Pas de remarques.</w:t>
            </w:r>
          </w:p>
        </w:tc>
      </w:tr>
    </w:tbl>
    <w:p w14:paraId="5BBF40AF" w14:textId="77777777" w:rsidR="001203BA" w:rsidRPr="00184C13" w:rsidRDefault="001203BA" w:rsidP="001203BA">
      <w:pPr>
        <w:rPr>
          <w:lang w:val="fr-FR"/>
        </w:rPr>
      </w:pPr>
    </w:p>
    <w:p w14:paraId="53216086" w14:textId="77777777" w:rsidR="00A820D7" w:rsidRPr="00184C13" w:rsidRDefault="00A820D7">
      <w:pPr>
        <w:rPr>
          <w:lang w:val="fr-FR"/>
        </w:rPr>
      </w:pPr>
    </w:p>
    <w:sectPr w:rsidR="00A820D7" w:rsidRPr="00184C1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64B"/>
    <w:multiLevelType w:val="hybridMultilevel"/>
    <w:tmpl w:val="36109672"/>
    <w:lvl w:ilvl="0" w:tplc="782E0620">
      <w:start w:val="1"/>
      <w:numFmt w:val="decimal"/>
      <w:pStyle w:val="151NL"/>
      <w:lvlText w:val="Art. 15:%1."/>
      <w:lvlJc w:val="left"/>
      <w:pPr>
        <w:ind w:left="2629" w:hanging="360"/>
      </w:pPr>
      <w:rPr>
        <w:rFonts w:ascii="Palatino Linotype" w:hAnsi="Palatino Linotype" w:hint="default"/>
        <w:b w:val="0"/>
        <w:i w:val="0"/>
        <w:color w:val="0000FF"/>
        <w:sz w:val="2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AAC"/>
    <w:rsid w:val="000B17B4"/>
    <w:rsid w:val="000D5983"/>
    <w:rsid w:val="000D6A2A"/>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84C13"/>
    <w:rsid w:val="00191BAC"/>
    <w:rsid w:val="00193578"/>
    <w:rsid w:val="001A5398"/>
    <w:rsid w:val="001B29CB"/>
    <w:rsid w:val="001C36B7"/>
    <w:rsid w:val="001D27E0"/>
    <w:rsid w:val="001D5AD6"/>
    <w:rsid w:val="001F57D8"/>
    <w:rsid w:val="00210D98"/>
    <w:rsid w:val="0021135B"/>
    <w:rsid w:val="00213D83"/>
    <w:rsid w:val="00214ADA"/>
    <w:rsid w:val="00216A35"/>
    <w:rsid w:val="002337A0"/>
    <w:rsid w:val="002419BA"/>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22A63"/>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5A74"/>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A767C"/>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351D"/>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E14E0"/>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F7AC1"/>
    <w:rsid w:val="00D102E1"/>
    <w:rsid w:val="00D134F7"/>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6DE4"/>
    <w:rsid w:val="00E511E0"/>
    <w:rsid w:val="00E53C0F"/>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EF0EE6"/>
    <w:rsid w:val="00F03C83"/>
    <w:rsid w:val="00F06403"/>
    <w:rsid w:val="00F134E0"/>
    <w:rsid w:val="00F20FCB"/>
    <w:rsid w:val="00F234EA"/>
    <w:rsid w:val="00F26581"/>
    <w:rsid w:val="00F301AA"/>
    <w:rsid w:val="00F30498"/>
    <w:rsid w:val="00F31712"/>
    <w:rsid w:val="00F31AEF"/>
    <w:rsid w:val="00F343DF"/>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AFF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 w:type="paragraph" w:customStyle="1" w:styleId="151NL">
    <w:name w:val="15:1 NL"/>
    <w:basedOn w:val="Standaard"/>
    <w:link w:val="151NLChar"/>
    <w:qFormat/>
    <w:rsid w:val="001F57D8"/>
    <w:pPr>
      <w:numPr>
        <w:numId w:val="1"/>
      </w:numPr>
      <w:tabs>
        <w:tab w:val="left" w:pos="992"/>
      </w:tabs>
      <w:spacing w:after="0" w:line="240" w:lineRule="auto"/>
      <w:ind w:left="0" w:firstLine="0"/>
      <w:jc w:val="both"/>
    </w:pPr>
    <w:rPr>
      <w:rFonts w:ascii="Palatino Linotype" w:eastAsia="Times New Roman" w:hAnsi="Palatino Linotype" w:cs="Times New Roman"/>
      <w:sz w:val="20"/>
      <w:szCs w:val="20"/>
      <w:lang w:val="fr-FR"/>
    </w:rPr>
  </w:style>
  <w:style w:type="character" w:customStyle="1" w:styleId="151NLChar">
    <w:name w:val="15:1 NL Char"/>
    <w:basedOn w:val="Standaardalinea-lettertype"/>
    <w:link w:val="151NL"/>
    <w:rsid w:val="001F57D8"/>
    <w:rPr>
      <w:rFonts w:ascii="Palatino Linotype" w:eastAsia="Times New Roman" w:hAnsi="Palatino Linotype"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2021-08-17T07:01:00Z</dcterms:created>
  <dcterms:modified xsi:type="dcterms:W3CDTF">2022-02-07T15:58:00Z</dcterms:modified>
</cp:coreProperties>
</file>