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E24674" w:rsidRPr="00E24674" w14:paraId="087D478F" w14:textId="77777777" w:rsidTr="00E24674">
        <w:tc>
          <w:tcPr>
            <w:tcW w:w="13462" w:type="dxa"/>
            <w:gridSpan w:val="3"/>
          </w:tcPr>
          <w:p w14:paraId="1F4AF1DF" w14:textId="77777777" w:rsidR="00E24674" w:rsidRDefault="00E24674" w:rsidP="0073233C">
            <w:pPr>
              <w:rPr>
                <w:b/>
                <w:sz w:val="32"/>
                <w:szCs w:val="32"/>
                <w:lang w:val="nl-BE"/>
              </w:rPr>
            </w:pPr>
            <w:r>
              <w:rPr>
                <w:b/>
                <w:sz w:val="32"/>
                <w:szCs w:val="32"/>
                <w:lang w:val="nl-BE"/>
              </w:rPr>
              <w:t>Titel 3. – F</w:t>
            </w:r>
            <w:r w:rsidRPr="00E24674">
              <w:rPr>
                <w:b/>
                <w:sz w:val="32"/>
                <w:szCs w:val="32"/>
                <w:lang w:val="nl-BE"/>
              </w:rPr>
              <w:t>iscale bepalingen.</w:t>
            </w:r>
          </w:p>
        </w:tc>
        <w:tc>
          <w:tcPr>
            <w:tcW w:w="283" w:type="dxa"/>
            <w:shd w:val="clear" w:color="auto" w:fill="auto"/>
          </w:tcPr>
          <w:p w14:paraId="192DAE1D" w14:textId="77777777" w:rsidR="00E24674" w:rsidRPr="007B17CA" w:rsidRDefault="00E24674" w:rsidP="0073233C">
            <w:pPr>
              <w:jc w:val="center"/>
              <w:rPr>
                <w:rFonts w:ascii="Cambria" w:eastAsia="Calibri" w:hAnsi="Cambria" w:cs="Times New Roman"/>
                <w:b/>
                <w:bCs/>
                <w:color w:val="4F81BD"/>
                <w:sz w:val="32"/>
                <w:szCs w:val="26"/>
                <w:lang w:val="nl-NL" w:eastAsia="fr-FR"/>
              </w:rPr>
            </w:pPr>
          </w:p>
        </w:tc>
      </w:tr>
      <w:tr w:rsidR="001203BA" w:rsidRPr="00E24674" w14:paraId="5CBA0CA9" w14:textId="77777777" w:rsidTr="0073233C">
        <w:tc>
          <w:tcPr>
            <w:tcW w:w="1980" w:type="dxa"/>
          </w:tcPr>
          <w:p w14:paraId="492EF531" w14:textId="77777777" w:rsidR="001203BA" w:rsidRPr="00B07AC9" w:rsidRDefault="00D134F7" w:rsidP="0073233C">
            <w:pPr>
              <w:rPr>
                <w:b/>
                <w:sz w:val="32"/>
                <w:szCs w:val="32"/>
                <w:lang w:val="nl-BE"/>
              </w:rPr>
            </w:pPr>
            <w:r>
              <w:rPr>
                <w:b/>
                <w:sz w:val="32"/>
                <w:szCs w:val="32"/>
                <w:lang w:val="nl-BE"/>
              </w:rPr>
              <w:t>ARTIKEL 18</w:t>
            </w:r>
            <w:r w:rsidR="00C3062C">
              <w:rPr>
                <w:b/>
                <w:sz w:val="32"/>
                <w:szCs w:val="32"/>
                <w:lang w:val="nl-BE"/>
              </w:rPr>
              <w:t>:8</w:t>
            </w:r>
          </w:p>
        </w:tc>
        <w:tc>
          <w:tcPr>
            <w:tcW w:w="11765" w:type="dxa"/>
            <w:gridSpan w:val="3"/>
            <w:shd w:val="clear" w:color="auto" w:fill="auto"/>
          </w:tcPr>
          <w:p w14:paraId="29813424" w14:textId="77777777" w:rsidR="001203BA" w:rsidRPr="007B17CA" w:rsidRDefault="001203BA" w:rsidP="0073233C">
            <w:pPr>
              <w:jc w:val="center"/>
              <w:rPr>
                <w:rFonts w:ascii="Cambria" w:eastAsia="Calibri" w:hAnsi="Cambria" w:cs="Times New Roman"/>
                <w:b/>
                <w:bCs/>
                <w:color w:val="4F81BD"/>
                <w:sz w:val="32"/>
                <w:szCs w:val="26"/>
                <w:lang w:val="nl-NL" w:eastAsia="fr-FR"/>
              </w:rPr>
            </w:pPr>
          </w:p>
        </w:tc>
      </w:tr>
      <w:tr w:rsidR="00CD523B" w:rsidRPr="00E24674" w14:paraId="093F75F9" w14:textId="77777777" w:rsidTr="0073233C">
        <w:tc>
          <w:tcPr>
            <w:tcW w:w="1980" w:type="dxa"/>
          </w:tcPr>
          <w:p w14:paraId="6884A973" w14:textId="77777777" w:rsidR="00CD523B" w:rsidRDefault="00CD523B" w:rsidP="0073233C">
            <w:pPr>
              <w:rPr>
                <w:b/>
                <w:sz w:val="32"/>
                <w:szCs w:val="32"/>
                <w:lang w:val="nl-BE"/>
              </w:rPr>
            </w:pPr>
          </w:p>
        </w:tc>
        <w:tc>
          <w:tcPr>
            <w:tcW w:w="11765" w:type="dxa"/>
            <w:gridSpan w:val="3"/>
            <w:shd w:val="clear" w:color="auto" w:fill="auto"/>
          </w:tcPr>
          <w:p w14:paraId="44659CDC" w14:textId="77777777" w:rsidR="00CD523B" w:rsidRPr="007B17CA" w:rsidRDefault="00CD523B" w:rsidP="0073233C">
            <w:pPr>
              <w:jc w:val="center"/>
              <w:rPr>
                <w:rFonts w:ascii="Cambria" w:eastAsia="Calibri" w:hAnsi="Cambria" w:cs="Times New Roman"/>
                <w:b/>
                <w:bCs/>
                <w:color w:val="4F81BD"/>
                <w:sz w:val="32"/>
                <w:szCs w:val="26"/>
                <w:lang w:val="nl-NL" w:eastAsia="fr-FR"/>
              </w:rPr>
            </w:pPr>
          </w:p>
        </w:tc>
      </w:tr>
      <w:tr w:rsidR="00C3062C" w:rsidRPr="000C102E" w14:paraId="071FA0F4" w14:textId="77777777" w:rsidTr="006D2BB9">
        <w:trPr>
          <w:trHeight w:val="3921"/>
        </w:trPr>
        <w:tc>
          <w:tcPr>
            <w:tcW w:w="1980" w:type="dxa"/>
          </w:tcPr>
          <w:p w14:paraId="629D80F6" w14:textId="77777777" w:rsidR="00C3062C" w:rsidRDefault="00C3062C" w:rsidP="0073233C">
            <w:pPr>
              <w:spacing w:after="0" w:line="240" w:lineRule="auto"/>
              <w:rPr>
                <w:rFonts w:cs="Calibri"/>
                <w:lang w:val="nl-BE"/>
              </w:rPr>
            </w:pPr>
            <w:r>
              <w:rPr>
                <w:rFonts w:cs="Calibri"/>
                <w:lang w:val="nl-BE"/>
              </w:rPr>
              <w:t>WVV</w:t>
            </w:r>
          </w:p>
        </w:tc>
        <w:tc>
          <w:tcPr>
            <w:tcW w:w="5953" w:type="dxa"/>
            <w:shd w:val="clear" w:color="auto" w:fill="auto"/>
          </w:tcPr>
          <w:p w14:paraId="4F693D5A" w14:textId="62798512" w:rsidR="00C3062C" w:rsidRDefault="00C3062C" w:rsidP="0073233C">
            <w:pPr>
              <w:spacing w:after="0" w:line="240" w:lineRule="auto"/>
              <w:jc w:val="both"/>
              <w:rPr>
                <w:rFonts w:cs="Calibri"/>
                <w:lang w:val="nl-BE"/>
              </w:rPr>
            </w:pPr>
            <w:r w:rsidRPr="00CB04D2">
              <w:rPr>
                <w:rFonts w:cs="Calibri"/>
                <w:lang w:val="nl-BE"/>
              </w:rPr>
              <w:t xml:space="preserve">In afwijking van </w:t>
            </w:r>
            <w:r>
              <w:rPr>
                <w:rFonts w:cs="Calibri"/>
                <w:lang w:val="nl-BE"/>
              </w:rPr>
              <w:t xml:space="preserve">de </w:t>
            </w:r>
            <w:r w:rsidR="00853481">
              <w:rPr>
                <w:rFonts w:cs="Calibri"/>
                <w:lang w:val="nl-BE"/>
              </w:rPr>
              <w:fldChar w:fldCharType="begin"/>
            </w:r>
            <w:r w:rsidR="00853481">
              <w:rPr>
                <w:rFonts w:cs="Calibri"/>
                <w:lang w:val="nl-BE"/>
              </w:rPr>
              <w:instrText xml:space="preserve"> HYPERLINK  \l "_Amendement_323" </w:instrText>
            </w:r>
            <w:r w:rsidR="00853481">
              <w:rPr>
                <w:rFonts w:cs="Calibri"/>
                <w:lang w:val="nl-BE"/>
              </w:rPr>
            </w:r>
            <w:r w:rsidR="00853481">
              <w:rPr>
                <w:rFonts w:cs="Calibri"/>
                <w:lang w:val="nl-BE"/>
              </w:rPr>
              <w:fldChar w:fldCharType="separate"/>
            </w:r>
            <w:r w:rsidRPr="00853481">
              <w:rPr>
                <w:rStyle w:val="Hyperlink"/>
                <w:rFonts w:cs="Calibri"/>
                <w:lang w:val="nl-BE"/>
              </w:rPr>
              <w:t xml:space="preserve">artikelen 1:5, §3, en 2:6 </w:t>
            </w:r>
            <w:r w:rsidR="00853481">
              <w:rPr>
                <w:rFonts w:cs="Calibri"/>
                <w:lang w:val="nl-BE"/>
              </w:rPr>
              <w:fldChar w:fldCharType="end"/>
            </w:r>
            <w:r w:rsidRPr="00CB04D2">
              <w:rPr>
                <w:rFonts w:cs="Calibri"/>
                <w:lang w:val="nl-BE"/>
              </w:rPr>
              <w:t xml:space="preserve"> wordt het overeenkomstig dit wetboek opgerichte Europees economisch samenwerkingsverband geacht geen rechtspersoonlijkheid te bezitten voor de toepassing van de inkomstenbelastingen</w:t>
            </w:r>
            <w:r>
              <w:rPr>
                <w:rFonts w:cs="Calibri"/>
                <w:lang w:val="nl-BE"/>
              </w:rPr>
              <w:t>.</w:t>
            </w:r>
          </w:p>
          <w:p w14:paraId="13637353" w14:textId="77777777" w:rsidR="00C3062C" w:rsidRDefault="00C3062C" w:rsidP="0073233C">
            <w:pPr>
              <w:spacing w:after="0" w:line="240" w:lineRule="auto"/>
              <w:jc w:val="both"/>
              <w:rPr>
                <w:rFonts w:cs="Calibri"/>
                <w:lang w:val="nl-BE"/>
              </w:rPr>
            </w:pPr>
          </w:p>
          <w:p w14:paraId="694BF185" w14:textId="77777777" w:rsidR="00C3062C" w:rsidRDefault="00C3062C" w:rsidP="0073233C">
            <w:pPr>
              <w:spacing w:after="0" w:line="240" w:lineRule="auto"/>
              <w:jc w:val="both"/>
              <w:rPr>
                <w:rFonts w:cs="Calibri"/>
                <w:lang w:val="nl-BE"/>
              </w:rPr>
            </w:pPr>
            <w:r w:rsidRPr="00CB04D2">
              <w:rPr>
                <w:rFonts w:cs="Calibri"/>
                <w:lang w:val="nl-BE"/>
              </w:rPr>
              <w:t>Het Europees economisch samenwerkingsverband wordt als dusdanig niet aan deze belastingen onderworpen. De uitgekeerde of niet uitgekeerde winst of baten evenals de opnemingen door de leden worden als winst of baten van de desbetreffende leden beschouwd en ten hun name belast overeenkomstig het stelsel dat op hen van toepassing is</w:t>
            </w:r>
            <w:r>
              <w:rPr>
                <w:rFonts w:cs="Calibri"/>
                <w:lang w:val="nl-BE"/>
              </w:rPr>
              <w:t>.</w:t>
            </w:r>
          </w:p>
          <w:p w14:paraId="217D6844" w14:textId="77777777" w:rsidR="00C3062C" w:rsidRDefault="00C3062C" w:rsidP="0073233C">
            <w:pPr>
              <w:spacing w:after="0" w:line="240" w:lineRule="auto"/>
              <w:jc w:val="both"/>
              <w:rPr>
                <w:rFonts w:cs="Calibri"/>
                <w:lang w:val="nl-BE"/>
              </w:rPr>
            </w:pPr>
          </w:p>
          <w:p w14:paraId="6315B039" w14:textId="77777777" w:rsidR="00C3062C" w:rsidRDefault="00C3062C" w:rsidP="0073233C">
            <w:pPr>
              <w:spacing w:after="0" w:line="240" w:lineRule="auto"/>
              <w:jc w:val="both"/>
              <w:rPr>
                <w:rFonts w:cs="Calibri"/>
                <w:lang w:val="nl-BE"/>
              </w:rPr>
            </w:pPr>
            <w:r w:rsidRPr="00CB04D2">
              <w:rPr>
                <w:rFonts w:cs="Calibri"/>
                <w:lang w:val="nl-BE"/>
              </w:rPr>
              <w:t>Deze winst of baten worden geacht te zijn betaald of toegekend aan de leden op de datum van afsluiting van het boekjaar waarop zij betrekking hebben; het aandeel in de niet uitgekeerde winst of baten wordt voor elk lid vastgesteld overeenkomstig de bepalingen van de overeenkomst of, bij gebrek daaraan, volgens het hoofdelijk aandeel</w:t>
            </w:r>
            <w:r>
              <w:rPr>
                <w:rFonts w:cs="Calibri"/>
                <w:lang w:val="nl-BE"/>
              </w:rPr>
              <w:t>.”</w:t>
            </w:r>
          </w:p>
        </w:tc>
        <w:tc>
          <w:tcPr>
            <w:tcW w:w="5812" w:type="dxa"/>
            <w:gridSpan w:val="2"/>
            <w:shd w:val="clear" w:color="auto" w:fill="auto"/>
          </w:tcPr>
          <w:p w14:paraId="52166B66" w14:textId="32C97A29" w:rsidR="00C3062C" w:rsidRDefault="00C3062C" w:rsidP="0073233C">
            <w:pPr>
              <w:spacing w:after="0" w:line="240" w:lineRule="auto"/>
              <w:jc w:val="both"/>
              <w:rPr>
                <w:rFonts w:cs="Calibri"/>
                <w:lang w:val="fr-BE"/>
              </w:rPr>
            </w:pPr>
            <w:r w:rsidRPr="00CB04D2">
              <w:rPr>
                <w:rFonts w:cs="Calibri"/>
                <w:lang w:val="fr-BE"/>
              </w:rPr>
              <w:t xml:space="preserve">Par dérogation </w:t>
            </w:r>
            <w:r>
              <w:rPr>
                <w:rFonts w:cs="Calibri"/>
                <w:lang w:val="fr-BE"/>
              </w:rPr>
              <w:t xml:space="preserve">aux </w:t>
            </w:r>
            <w:hyperlink w:anchor="_Amendement_323_1" w:history="1">
              <w:r w:rsidRPr="00853481">
                <w:rPr>
                  <w:rStyle w:val="Hyperlink"/>
                  <w:rFonts w:cs="Calibri"/>
                  <w:lang w:val="fr-BE"/>
                </w:rPr>
                <w:t>article</w:t>
              </w:r>
              <w:r w:rsidR="00853481" w:rsidRPr="00853481">
                <w:rPr>
                  <w:rStyle w:val="Hyperlink"/>
                  <w:rFonts w:cs="Calibri"/>
                  <w:lang w:val="fr-BE"/>
                </w:rPr>
                <w:t>s 1</w:t>
              </w:r>
              <w:r w:rsidRPr="00853481">
                <w:rPr>
                  <w:rStyle w:val="Hyperlink"/>
                  <w:rFonts w:cs="Calibri"/>
                  <w:lang w:val="fr-BE"/>
                </w:rPr>
                <w:t>:5, §3, et 2:6</w:t>
              </w:r>
            </w:hyperlink>
            <w:bookmarkStart w:id="0" w:name="_GoBack"/>
            <w:bookmarkEnd w:id="0"/>
            <w:r w:rsidRPr="00CB04D2">
              <w:rPr>
                <w:rFonts w:cs="Calibri"/>
                <w:lang w:val="fr-BE"/>
              </w:rPr>
              <w:t>, les groupements  européens d'intérêt économique constitués conformément à ce code sont considérés comme dénués de la personnalité juridique pour leur assujettissement aux impôts sur les revenus</w:t>
            </w:r>
            <w:r>
              <w:rPr>
                <w:rFonts w:cs="Calibri"/>
                <w:lang w:val="fr-BE"/>
              </w:rPr>
              <w:t>.</w:t>
            </w:r>
          </w:p>
          <w:p w14:paraId="41230916" w14:textId="77777777" w:rsidR="00C3062C" w:rsidRDefault="00C3062C" w:rsidP="0073233C">
            <w:pPr>
              <w:spacing w:after="0" w:line="240" w:lineRule="auto"/>
              <w:jc w:val="both"/>
              <w:rPr>
                <w:rFonts w:cs="Calibri"/>
                <w:lang w:val="fr-BE"/>
              </w:rPr>
            </w:pPr>
          </w:p>
          <w:p w14:paraId="78207372" w14:textId="77777777" w:rsidR="00C3062C" w:rsidRDefault="00C3062C" w:rsidP="0073233C">
            <w:pPr>
              <w:spacing w:after="0" w:line="240" w:lineRule="auto"/>
              <w:jc w:val="both"/>
              <w:rPr>
                <w:rFonts w:cs="Calibri"/>
                <w:lang w:val="fr-BE"/>
              </w:rPr>
            </w:pPr>
            <w:r w:rsidRPr="00CB04D2">
              <w:rPr>
                <w:rFonts w:cs="Calibri"/>
                <w:lang w:val="fr-BE"/>
              </w:rPr>
              <w:t>Le groupement européen d'intérêt économique n’est en tant que tel pas soumis auxdits impôts. Les bénéfices ou profits distribués ou non distribués, ainsi que les prélèvements des membres sont considérés comme des bénéfices ou profits desdits membres et taxés dans leur chef selon le régime qui leur est applicable</w:t>
            </w:r>
            <w:r>
              <w:rPr>
                <w:rFonts w:cs="Calibri"/>
                <w:lang w:val="fr-BE"/>
              </w:rPr>
              <w:t>.</w:t>
            </w:r>
          </w:p>
          <w:p w14:paraId="0FF9D02E" w14:textId="77777777" w:rsidR="00C3062C" w:rsidRDefault="00C3062C" w:rsidP="0073233C">
            <w:pPr>
              <w:spacing w:after="0" w:line="240" w:lineRule="auto"/>
              <w:jc w:val="both"/>
              <w:rPr>
                <w:rFonts w:cs="Calibri"/>
                <w:lang w:val="fr-BE"/>
              </w:rPr>
            </w:pPr>
          </w:p>
          <w:p w14:paraId="7DB4409C" w14:textId="77777777" w:rsidR="00C3062C" w:rsidRPr="00CB04D2" w:rsidRDefault="00C3062C" w:rsidP="0073233C">
            <w:pPr>
              <w:spacing w:after="0" w:line="240" w:lineRule="auto"/>
              <w:jc w:val="both"/>
              <w:rPr>
                <w:rFonts w:cs="Calibri"/>
                <w:lang w:val="fr-BE"/>
              </w:rPr>
            </w:pPr>
            <w:r w:rsidRPr="00CB04D2">
              <w:rPr>
                <w:rFonts w:cs="Calibri"/>
                <w:lang w:val="fr-BE"/>
              </w:rPr>
              <w:t xml:space="preserve">Ces bénéfices ou profits sont censés être payés ou attribués aux membres à la date de clôture de l'exercice comptable auquel ils se rapportent, la part de chacun dans les bénéfices ou profits non distribués étant déterminée conformément aux stipulations du contrat ou à défaut par </w:t>
            </w:r>
            <w:r>
              <w:rPr>
                <w:rFonts w:cs="Calibri"/>
                <w:lang w:val="fr-BE"/>
              </w:rPr>
              <w:t>part virile. »</w:t>
            </w:r>
          </w:p>
        </w:tc>
      </w:tr>
      <w:tr w:rsidR="000C102E" w:rsidRPr="000C102E" w14:paraId="14A0937D" w14:textId="77777777" w:rsidTr="000C102E">
        <w:trPr>
          <w:trHeight w:val="451"/>
        </w:trPr>
        <w:tc>
          <w:tcPr>
            <w:tcW w:w="1980" w:type="dxa"/>
          </w:tcPr>
          <w:p w14:paraId="5925F492" w14:textId="55BD4A59" w:rsidR="000C102E" w:rsidRPr="000C102E" w:rsidRDefault="000C102E" w:rsidP="0073233C">
            <w:pPr>
              <w:spacing w:after="0" w:line="240" w:lineRule="auto"/>
              <w:rPr>
                <w:rFonts w:cs="Calibri"/>
                <w:lang w:val="fr-BE"/>
              </w:rPr>
            </w:pPr>
            <w:proofErr w:type="spellStart"/>
            <w:r w:rsidRPr="002407FF">
              <w:t>Ontwerp</w:t>
            </w:r>
            <w:proofErr w:type="spellEnd"/>
          </w:p>
        </w:tc>
        <w:tc>
          <w:tcPr>
            <w:tcW w:w="5953" w:type="dxa"/>
            <w:shd w:val="clear" w:color="auto" w:fill="auto"/>
          </w:tcPr>
          <w:p w14:paraId="20247DC0" w14:textId="59DA2E1E" w:rsidR="000C102E" w:rsidRPr="000C102E" w:rsidRDefault="000C102E" w:rsidP="0073233C">
            <w:pPr>
              <w:spacing w:after="0" w:line="240" w:lineRule="auto"/>
              <w:jc w:val="both"/>
              <w:rPr>
                <w:rFonts w:cs="Calibri"/>
                <w:lang w:val="fr-BE"/>
              </w:rPr>
            </w:pPr>
            <w:proofErr w:type="spellStart"/>
            <w:r w:rsidRPr="002407FF">
              <w:t>Geen</w:t>
            </w:r>
            <w:proofErr w:type="spellEnd"/>
            <w:r w:rsidRPr="002407FF">
              <w:t xml:space="preserve"> </w:t>
            </w:r>
            <w:proofErr w:type="spellStart"/>
            <w:r w:rsidRPr="002407FF">
              <w:t>artikel</w:t>
            </w:r>
            <w:proofErr w:type="spellEnd"/>
            <w:r>
              <w:t>.</w:t>
            </w:r>
          </w:p>
        </w:tc>
        <w:tc>
          <w:tcPr>
            <w:tcW w:w="5812" w:type="dxa"/>
            <w:gridSpan w:val="2"/>
            <w:shd w:val="clear" w:color="auto" w:fill="auto"/>
          </w:tcPr>
          <w:p w14:paraId="32F8FA21" w14:textId="2228236B" w:rsidR="000C102E" w:rsidRPr="00CB04D2" w:rsidRDefault="000C102E" w:rsidP="0073233C">
            <w:pPr>
              <w:spacing w:after="0" w:line="240" w:lineRule="auto"/>
              <w:jc w:val="both"/>
              <w:rPr>
                <w:rFonts w:cs="Calibri"/>
                <w:lang w:val="fr-BE"/>
              </w:rPr>
            </w:pPr>
            <w:r w:rsidRPr="002407FF">
              <w:t xml:space="preserve">Pas </w:t>
            </w:r>
            <w:proofErr w:type="spellStart"/>
            <w:r w:rsidRPr="002407FF">
              <w:t>d’article</w:t>
            </w:r>
            <w:proofErr w:type="spellEnd"/>
            <w:r>
              <w:t>.</w:t>
            </w:r>
          </w:p>
        </w:tc>
      </w:tr>
      <w:tr w:rsidR="000C102E" w:rsidRPr="00E83EEB" w14:paraId="3D819CF1" w14:textId="77777777" w:rsidTr="000C102E">
        <w:trPr>
          <w:trHeight w:val="437"/>
        </w:trPr>
        <w:tc>
          <w:tcPr>
            <w:tcW w:w="1980" w:type="dxa"/>
          </w:tcPr>
          <w:p w14:paraId="636E62EA" w14:textId="77777777" w:rsidR="000C102E" w:rsidRPr="00E83EEB" w:rsidRDefault="000C102E" w:rsidP="0073233C">
            <w:pPr>
              <w:spacing w:after="0" w:line="240" w:lineRule="auto"/>
              <w:rPr>
                <w:rFonts w:cs="Calibri"/>
                <w:lang w:val="fr-FR"/>
              </w:rPr>
            </w:pPr>
            <w:proofErr w:type="spellStart"/>
            <w:r>
              <w:rPr>
                <w:rFonts w:cs="Calibri"/>
                <w:lang w:val="fr-FR"/>
              </w:rPr>
              <w:t>Voorontwerp</w:t>
            </w:r>
            <w:proofErr w:type="spellEnd"/>
          </w:p>
        </w:tc>
        <w:tc>
          <w:tcPr>
            <w:tcW w:w="5953" w:type="dxa"/>
            <w:shd w:val="clear" w:color="auto" w:fill="auto"/>
          </w:tcPr>
          <w:p w14:paraId="1CD5A6A4" w14:textId="77777777" w:rsidR="000C102E" w:rsidRPr="00E83EEB" w:rsidRDefault="000C102E" w:rsidP="0073233C">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4B66B02D" w14:textId="77777777" w:rsidR="000C102E" w:rsidRPr="00CB04D2" w:rsidRDefault="000C102E" w:rsidP="0073233C">
            <w:pPr>
              <w:spacing w:after="0" w:line="240" w:lineRule="auto"/>
              <w:jc w:val="both"/>
              <w:rPr>
                <w:rFonts w:cs="Calibri"/>
                <w:lang w:val="fr-BE"/>
              </w:rPr>
            </w:pPr>
            <w:r>
              <w:rPr>
                <w:rFonts w:cs="Calibri"/>
                <w:lang w:val="fr-BE"/>
              </w:rPr>
              <w:t>Pas d’article.</w:t>
            </w:r>
          </w:p>
        </w:tc>
      </w:tr>
      <w:tr w:rsidR="000C102E" w:rsidRPr="006D2BB9" w14:paraId="6C9E909C" w14:textId="77777777" w:rsidTr="006D2BB9">
        <w:trPr>
          <w:trHeight w:val="415"/>
        </w:trPr>
        <w:tc>
          <w:tcPr>
            <w:tcW w:w="1980" w:type="dxa"/>
          </w:tcPr>
          <w:p w14:paraId="0590AE88" w14:textId="77777777" w:rsidR="000C102E" w:rsidRPr="002407FF" w:rsidRDefault="000C102E" w:rsidP="0073233C">
            <w:pPr>
              <w:spacing w:after="0" w:line="240" w:lineRule="auto"/>
              <w:jc w:val="both"/>
            </w:pPr>
            <w:proofErr w:type="spellStart"/>
            <w:r>
              <w:t>MvT</w:t>
            </w:r>
            <w:proofErr w:type="spellEnd"/>
          </w:p>
        </w:tc>
        <w:tc>
          <w:tcPr>
            <w:tcW w:w="5953" w:type="dxa"/>
            <w:shd w:val="clear" w:color="auto" w:fill="auto"/>
          </w:tcPr>
          <w:p w14:paraId="1A843FB8" w14:textId="77777777" w:rsidR="000C102E" w:rsidRPr="00E24674" w:rsidRDefault="000C102E" w:rsidP="0073233C">
            <w:pPr>
              <w:spacing w:after="0" w:line="240" w:lineRule="auto"/>
              <w:jc w:val="both"/>
              <w:rPr>
                <w:lang w:val="nl-BE"/>
              </w:rPr>
            </w:pPr>
            <w:r w:rsidRPr="00E24674">
              <w:rPr>
                <w:lang w:val="nl-BE"/>
              </w:rPr>
              <w:t>Deze bepaling herneemt artikel 14 EESV-wet.</w:t>
            </w:r>
          </w:p>
        </w:tc>
        <w:tc>
          <w:tcPr>
            <w:tcW w:w="5812" w:type="dxa"/>
            <w:gridSpan w:val="2"/>
            <w:shd w:val="clear" w:color="auto" w:fill="auto"/>
          </w:tcPr>
          <w:p w14:paraId="5E8D450B" w14:textId="77777777" w:rsidR="000C102E" w:rsidRPr="00E24674" w:rsidRDefault="000C102E" w:rsidP="0073233C">
            <w:pPr>
              <w:spacing w:after="0" w:line="240" w:lineRule="auto"/>
              <w:jc w:val="both"/>
              <w:rPr>
                <w:lang w:val="fr-FR"/>
              </w:rPr>
            </w:pPr>
            <w:r w:rsidRPr="00E24674">
              <w:rPr>
                <w:lang w:val="fr-FR"/>
              </w:rPr>
              <w:t>Cette disposition reprend l’article 14 de la loi GEIE.</w:t>
            </w:r>
          </w:p>
        </w:tc>
      </w:tr>
      <w:tr w:rsidR="000C102E" w:rsidRPr="00E24674" w14:paraId="0A328B32" w14:textId="77777777" w:rsidTr="006D2BB9">
        <w:trPr>
          <w:trHeight w:val="421"/>
        </w:trPr>
        <w:tc>
          <w:tcPr>
            <w:tcW w:w="1980" w:type="dxa"/>
          </w:tcPr>
          <w:p w14:paraId="1A1E93CE" w14:textId="77777777" w:rsidR="000C102E" w:rsidRDefault="000C102E" w:rsidP="0073233C">
            <w:pPr>
              <w:spacing w:after="0" w:line="240" w:lineRule="auto"/>
              <w:jc w:val="both"/>
            </w:pPr>
            <w:proofErr w:type="spellStart"/>
            <w:r>
              <w:t>RvSt</w:t>
            </w:r>
            <w:proofErr w:type="spellEnd"/>
          </w:p>
        </w:tc>
        <w:tc>
          <w:tcPr>
            <w:tcW w:w="5953" w:type="dxa"/>
            <w:shd w:val="clear" w:color="auto" w:fill="auto"/>
          </w:tcPr>
          <w:p w14:paraId="2219054D" w14:textId="77777777" w:rsidR="000C102E" w:rsidRPr="00E24674" w:rsidRDefault="000C102E" w:rsidP="0073233C">
            <w:pPr>
              <w:spacing w:after="0" w:line="240" w:lineRule="auto"/>
              <w:jc w:val="both"/>
              <w:rPr>
                <w:lang w:val="nl-BE"/>
              </w:rPr>
            </w:pPr>
            <w:r>
              <w:rPr>
                <w:lang w:val="nl-BE"/>
              </w:rPr>
              <w:t>Geen opmerkingen.</w:t>
            </w:r>
          </w:p>
        </w:tc>
        <w:tc>
          <w:tcPr>
            <w:tcW w:w="5812" w:type="dxa"/>
            <w:gridSpan w:val="2"/>
            <w:shd w:val="clear" w:color="auto" w:fill="auto"/>
          </w:tcPr>
          <w:p w14:paraId="34ED2F0B" w14:textId="77777777" w:rsidR="000C102E" w:rsidRPr="00E24674" w:rsidRDefault="000C102E" w:rsidP="0073233C">
            <w:pPr>
              <w:spacing w:after="0" w:line="240" w:lineRule="auto"/>
              <w:jc w:val="both"/>
              <w:rPr>
                <w:lang w:val="fr-FR"/>
              </w:rPr>
            </w:pPr>
            <w:r>
              <w:rPr>
                <w:lang w:val="fr-FR"/>
              </w:rPr>
              <w:t>Pas de remarques.</w:t>
            </w:r>
          </w:p>
        </w:tc>
      </w:tr>
      <w:tr w:rsidR="000C102E" w:rsidRPr="006D2BB9" w14:paraId="7E5C79EB" w14:textId="77777777" w:rsidTr="006D2BB9">
        <w:trPr>
          <w:trHeight w:val="274"/>
        </w:trPr>
        <w:tc>
          <w:tcPr>
            <w:tcW w:w="1980" w:type="dxa"/>
          </w:tcPr>
          <w:p w14:paraId="5012BA9B" w14:textId="77777777" w:rsidR="000C102E" w:rsidRPr="002407FF" w:rsidRDefault="000C102E" w:rsidP="0073233C">
            <w:pPr>
              <w:spacing w:after="0" w:line="240" w:lineRule="auto"/>
              <w:jc w:val="both"/>
            </w:pPr>
            <w:proofErr w:type="spellStart"/>
            <w:r>
              <w:t>RvSt</w:t>
            </w:r>
            <w:proofErr w:type="spellEnd"/>
            <w:r>
              <w:t xml:space="preserve"> 2</w:t>
            </w:r>
          </w:p>
        </w:tc>
        <w:tc>
          <w:tcPr>
            <w:tcW w:w="5953" w:type="dxa"/>
            <w:shd w:val="clear" w:color="auto" w:fill="auto"/>
          </w:tcPr>
          <w:p w14:paraId="798DA40C" w14:textId="77777777" w:rsidR="000C102E" w:rsidRPr="00E24674" w:rsidRDefault="000C102E" w:rsidP="0073233C">
            <w:pPr>
              <w:spacing w:after="0" w:line="240" w:lineRule="auto"/>
              <w:jc w:val="both"/>
              <w:rPr>
                <w:lang w:val="nl-BE"/>
              </w:rPr>
            </w:pPr>
            <w:r w:rsidRPr="00E24674">
              <w:rPr>
                <w:lang w:val="nl-BE"/>
              </w:rPr>
              <w:t>Het voorgestelde artikel 18:8 wijkt eveneens af van ontworpen het artikel 1 :5, §33 wat vermeld dient te worden.</w:t>
            </w:r>
          </w:p>
        </w:tc>
        <w:tc>
          <w:tcPr>
            <w:tcW w:w="5812" w:type="dxa"/>
            <w:gridSpan w:val="2"/>
            <w:shd w:val="clear" w:color="auto" w:fill="auto"/>
          </w:tcPr>
          <w:p w14:paraId="49DB5519" w14:textId="77777777" w:rsidR="000C102E" w:rsidRPr="00E24674" w:rsidRDefault="000C102E" w:rsidP="0073233C">
            <w:pPr>
              <w:spacing w:after="0" w:line="240" w:lineRule="auto"/>
              <w:jc w:val="both"/>
              <w:rPr>
                <w:lang w:val="fr-FR"/>
              </w:rPr>
            </w:pPr>
            <w:r w:rsidRPr="00E24674">
              <w:rPr>
                <w:lang w:val="fr-FR"/>
              </w:rPr>
              <w:t xml:space="preserve">Cet article déroge également à l’article </w:t>
            </w:r>
            <w:proofErr w:type="gramStart"/>
            <w:r w:rsidRPr="00E24674">
              <w:rPr>
                <w:lang w:val="fr-FR"/>
              </w:rPr>
              <w:t>1:</w:t>
            </w:r>
            <w:proofErr w:type="gramEnd"/>
            <w:r w:rsidRPr="00E24674">
              <w:rPr>
                <w:lang w:val="fr-FR"/>
              </w:rPr>
              <w:t>5, § 3, en projet  , ce qu’il convient d’indiquer.</w:t>
            </w:r>
          </w:p>
        </w:tc>
      </w:tr>
      <w:tr w:rsidR="000C102E" w:rsidRPr="006D2BB9" w14:paraId="55C2D007" w14:textId="77777777" w:rsidTr="006D2BB9">
        <w:trPr>
          <w:trHeight w:val="274"/>
        </w:trPr>
        <w:tc>
          <w:tcPr>
            <w:tcW w:w="1980" w:type="dxa"/>
          </w:tcPr>
          <w:p w14:paraId="3CBE2468" w14:textId="77777777" w:rsidR="000C102E" w:rsidRPr="00853481" w:rsidRDefault="000C102E" w:rsidP="00853481">
            <w:pPr>
              <w:pStyle w:val="Kop1"/>
            </w:pPr>
            <w:bookmarkStart w:id="1" w:name="_Amendement_323"/>
            <w:bookmarkStart w:id="2" w:name="_Amendement_323_1"/>
            <w:bookmarkEnd w:id="1"/>
            <w:bookmarkEnd w:id="2"/>
            <w:proofErr w:type="spellStart"/>
            <w:r w:rsidRPr="00853481">
              <w:lastRenderedPageBreak/>
              <w:t>Amendement</w:t>
            </w:r>
            <w:proofErr w:type="spellEnd"/>
            <w:r w:rsidRPr="00853481">
              <w:t xml:space="preserve"> 323</w:t>
            </w:r>
          </w:p>
        </w:tc>
        <w:tc>
          <w:tcPr>
            <w:tcW w:w="5953" w:type="dxa"/>
            <w:shd w:val="clear" w:color="auto" w:fill="auto"/>
          </w:tcPr>
          <w:p w14:paraId="65878352" w14:textId="77777777" w:rsidR="000C102E" w:rsidRPr="00853481" w:rsidRDefault="000C102E" w:rsidP="0073233C">
            <w:pPr>
              <w:autoSpaceDE w:val="0"/>
              <w:autoSpaceDN w:val="0"/>
              <w:adjustRightInd w:val="0"/>
              <w:spacing w:after="0" w:line="240" w:lineRule="auto"/>
              <w:jc w:val="both"/>
              <w:rPr>
                <w:rFonts w:cstheme="minorHAnsi"/>
                <w:bCs/>
                <w:lang w:val="nl-BE"/>
              </w:rPr>
            </w:pPr>
            <w:r w:rsidRPr="00853481">
              <w:rPr>
                <w:rFonts w:cstheme="minorHAnsi"/>
                <w:bCs/>
                <w:lang w:val="nl-BE"/>
              </w:rPr>
              <w:t xml:space="preserve">In het voorgestelde artikel 18:8, eerste lid, de woorden </w:t>
            </w:r>
            <w:r w:rsidRPr="00853481">
              <w:rPr>
                <w:rFonts w:cstheme="minorHAnsi"/>
                <w:lang w:val="nl-BE"/>
              </w:rPr>
              <w:t xml:space="preserve">“artikel 2:6” </w:t>
            </w:r>
            <w:r w:rsidRPr="00853481">
              <w:rPr>
                <w:rFonts w:cstheme="minorHAnsi"/>
                <w:bCs/>
                <w:lang w:val="nl-BE"/>
              </w:rPr>
              <w:t xml:space="preserve">vervangen door de woorden </w:t>
            </w:r>
            <w:r w:rsidRPr="00853481">
              <w:rPr>
                <w:rFonts w:cstheme="minorHAnsi"/>
                <w:iCs/>
                <w:lang w:val="nl-BE"/>
              </w:rPr>
              <w:t>“artikelen 1:5, § 3, en 2:6”</w:t>
            </w:r>
            <w:r w:rsidRPr="00853481">
              <w:rPr>
                <w:rFonts w:cstheme="minorHAnsi"/>
                <w:bCs/>
                <w:lang w:val="nl-BE"/>
              </w:rPr>
              <w:t>.</w:t>
            </w:r>
          </w:p>
          <w:p w14:paraId="1AC5BCF4" w14:textId="77777777" w:rsidR="000C102E" w:rsidRPr="00853481" w:rsidRDefault="000C102E" w:rsidP="0073233C">
            <w:pPr>
              <w:autoSpaceDE w:val="0"/>
              <w:autoSpaceDN w:val="0"/>
              <w:adjustRightInd w:val="0"/>
              <w:spacing w:after="0" w:line="240" w:lineRule="auto"/>
              <w:jc w:val="both"/>
              <w:rPr>
                <w:rFonts w:cstheme="minorHAnsi"/>
                <w:bCs/>
                <w:lang w:val="nl-BE"/>
              </w:rPr>
            </w:pPr>
          </w:p>
          <w:p w14:paraId="2EEEA027" w14:textId="77777777" w:rsidR="000C102E" w:rsidRPr="00853481" w:rsidRDefault="000C102E" w:rsidP="0073233C">
            <w:pPr>
              <w:autoSpaceDE w:val="0"/>
              <w:autoSpaceDN w:val="0"/>
              <w:adjustRightInd w:val="0"/>
              <w:spacing w:after="0" w:line="240" w:lineRule="auto"/>
              <w:jc w:val="both"/>
              <w:rPr>
                <w:rFonts w:cstheme="minorHAnsi"/>
                <w:lang w:val="nl-BE"/>
              </w:rPr>
            </w:pPr>
            <w:r w:rsidRPr="00853481">
              <w:rPr>
                <w:rFonts w:cstheme="minorHAnsi"/>
                <w:lang w:val="nl-BE"/>
              </w:rPr>
              <w:t>VERANTWOORDING</w:t>
            </w:r>
          </w:p>
          <w:p w14:paraId="1382C4E6" w14:textId="77777777" w:rsidR="000C102E" w:rsidRPr="00853481" w:rsidRDefault="000C102E" w:rsidP="0073233C">
            <w:pPr>
              <w:autoSpaceDE w:val="0"/>
              <w:autoSpaceDN w:val="0"/>
              <w:adjustRightInd w:val="0"/>
              <w:spacing w:after="0" w:line="240" w:lineRule="auto"/>
              <w:jc w:val="both"/>
              <w:rPr>
                <w:rFonts w:cstheme="minorHAnsi"/>
                <w:lang w:val="nl-BE"/>
              </w:rPr>
            </w:pPr>
          </w:p>
          <w:p w14:paraId="1AC85F08" w14:textId="77777777" w:rsidR="000C102E" w:rsidRPr="00853481" w:rsidRDefault="000C102E" w:rsidP="0073233C">
            <w:pPr>
              <w:spacing w:after="0" w:line="240" w:lineRule="auto"/>
              <w:jc w:val="both"/>
              <w:rPr>
                <w:rFonts w:cstheme="minorHAnsi"/>
                <w:lang w:val="nl-BE"/>
              </w:rPr>
            </w:pPr>
            <w:r w:rsidRPr="00853481">
              <w:rPr>
                <w:rFonts w:cstheme="minorHAnsi"/>
                <w:lang w:val="nl-BE"/>
              </w:rPr>
              <w:t>Dit amendement corrigeert een materiële vergissing.</w:t>
            </w:r>
          </w:p>
        </w:tc>
        <w:tc>
          <w:tcPr>
            <w:tcW w:w="5812" w:type="dxa"/>
            <w:gridSpan w:val="2"/>
            <w:shd w:val="clear" w:color="auto" w:fill="auto"/>
          </w:tcPr>
          <w:p w14:paraId="13F28795" w14:textId="77777777" w:rsidR="000C102E" w:rsidRPr="00853481" w:rsidRDefault="000C102E" w:rsidP="0073233C">
            <w:pPr>
              <w:autoSpaceDE w:val="0"/>
              <w:autoSpaceDN w:val="0"/>
              <w:adjustRightInd w:val="0"/>
              <w:spacing w:after="0" w:line="240" w:lineRule="auto"/>
              <w:jc w:val="both"/>
              <w:rPr>
                <w:rFonts w:cstheme="minorHAnsi"/>
                <w:bCs/>
                <w:lang w:val="fr-FR"/>
              </w:rPr>
            </w:pPr>
            <w:r w:rsidRPr="00853481">
              <w:rPr>
                <w:rFonts w:cstheme="minorHAnsi"/>
                <w:bCs/>
                <w:lang w:val="fr-FR"/>
              </w:rPr>
              <w:t xml:space="preserve">Dans l’article </w:t>
            </w:r>
            <w:proofErr w:type="gramStart"/>
            <w:r w:rsidRPr="00853481">
              <w:rPr>
                <w:rFonts w:cstheme="minorHAnsi"/>
                <w:bCs/>
                <w:lang w:val="fr-FR"/>
              </w:rPr>
              <w:t>18:</w:t>
            </w:r>
            <w:proofErr w:type="gramEnd"/>
            <w:r w:rsidRPr="00853481">
              <w:rPr>
                <w:rFonts w:cstheme="minorHAnsi"/>
                <w:bCs/>
                <w:lang w:val="fr-FR"/>
              </w:rPr>
              <w:t xml:space="preserve">8, alinéa 1er, proposé, remplacer les mots </w:t>
            </w:r>
            <w:r w:rsidRPr="00853481">
              <w:rPr>
                <w:rFonts w:cstheme="minorHAnsi"/>
                <w:lang w:val="fr-FR"/>
              </w:rPr>
              <w:t xml:space="preserve">“à l’article 2:6” </w:t>
            </w:r>
            <w:r w:rsidRPr="00853481">
              <w:rPr>
                <w:rFonts w:cstheme="minorHAnsi"/>
                <w:bCs/>
                <w:lang w:val="fr-FR"/>
              </w:rPr>
              <w:t xml:space="preserve">par les mots </w:t>
            </w:r>
            <w:r w:rsidRPr="00853481">
              <w:rPr>
                <w:rFonts w:cstheme="minorHAnsi"/>
                <w:iCs/>
                <w:lang w:val="fr-FR"/>
              </w:rPr>
              <w:t>“aux articles 1:5; § 3, et 2:6”</w:t>
            </w:r>
            <w:r w:rsidRPr="00853481">
              <w:rPr>
                <w:rFonts w:cstheme="minorHAnsi"/>
                <w:bCs/>
                <w:lang w:val="fr-FR"/>
              </w:rPr>
              <w:t>.</w:t>
            </w:r>
          </w:p>
          <w:p w14:paraId="5A481227" w14:textId="77777777" w:rsidR="000C102E" w:rsidRPr="00853481" w:rsidRDefault="000C102E" w:rsidP="0073233C">
            <w:pPr>
              <w:autoSpaceDE w:val="0"/>
              <w:autoSpaceDN w:val="0"/>
              <w:adjustRightInd w:val="0"/>
              <w:spacing w:after="0" w:line="240" w:lineRule="auto"/>
              <w:jc w:val="both"/>
              <w:rPr>
                <w:rFonts w:cstheme="minorHAnsi"/>
                <w:bCs/>
                <w:lang w:val="fr-FR"/>
              </w:rPr>
            </w:pPr>
          </w:p>
          <w:p w14:paraId="19ED56C2" w14:textId="77777777" w:rsidR="000C102E" w:rsidRPr="00853481" w:rsidRDefault="000C102E" w:rsidP="0073233C">
            <w:pPr>
              <w:autoSpaceDE w:val="0"/>
              <w:autoSpaceDN w:val="0"/>
              <w:adjustRightInd w:val="0"/>
              <w:spacing w:after="0" w:line="240" w:lineRule="auto"/>
              <w:jc w:val="both"/>
              <w:rPr>
                <w:rFonts w:cstheme="minorHAnsi"/>
                <w:lang w:val="fr-FR"/>
              </w:rPr>
            </w:pPr>
            <w:r w:rsidRPr="00853481">
              <w:rPr>
                <w:rFonts w:cstheme="minorHAnsi"/>
                <w:lang w:val="fr-FR"/>
              </w:rPr>
              <w:t>JUSTIFICATION</w:t>
            </w:r>
          </w:p>
          <w:p w14:paraId="41261C3B" w14:textId="77777777" w:rsidR="000C102E" w:rsidRPr="00853481" w:rsidRDefault="000C102E" w:rsidP="0073233C">
            <w:pPr>
              <w:autoSpaceDE w:val="0"/>
              <w:autoSpaceDN w:val="0"/>
              <w:adjustRightInd w:val="0"/>
              <w:spacing w:after="0" w:line="240" w:lineRule="auto"/>
              <w:jc w:val="both"/>
              <w:rPr>
                <w:rFonts w:cstheme="minorHAnsi"/>
                <w:lang w:val="fr-FR"/>
              </w:rPr>
            </w:pPr>
          </w:p>
          <w:p w14:paraId="6E15CF69" w14:textId="77777777" w:rsidR="000C102E" w:rsidRPr="00853481" w:rsidRDefault="000C102E" w:rsidP="0073233C">
            <w:pPr>
              <w:autoSpaceDE w:val="0"/>
              <w:autoSpaceDN w:val="0"/>
              <w:adjustRightInd w:val="0"/>
              <w:spacing w:after="0" w:line="240" w:lineRule="auto"/>
              <w:jc w:val="both"/>
              <w:rPr>
                <w:rFonts w:cstheme="minorHAnsi"/>
                <w:lang w:val="fr-FR"/>
              </w:rPr>
            </w:pPr>
            <w:r w:rsidRPr="00853481">
              <w:rPr>
                <w:rFonts w:cstheme="minorHAnsi"/>
                <w:lang w:val="fr-FR"/>
              </w:rPr>
              <w:t>Cet amendement a pour objet de corriger une erreur matérielle.</w:t>
            </w:r>
          </w:p>
        </w:tc>
      </w:tr>
    </w:tbl>
    <w:p w14:paraId="2DB37123" w14:textId="77777777" w:rsidR="001203BA" w:rsidRPr="008C0348" w:rsidRDefault="001203BA" w:rsidP="001203BA">
      <w:pPr>
        <w:rPr>
          <w:lang w:val="fr-FR"/>
        </w:rPr>
      </w:pPr>
    </w:p>
    <w:p w14:paraId="58082853" w14:textId="77777777" w:rsidR="00A820D7" w:rsidRPr="008C0348" w:rsidRDefault="00A820D7">
      <w:pPr>
        <w:rPr>
          <w:lang w:val="fr-FR"/>
        </w:rPr>
      </w:pPr>
    </w:p>
    <w:sectPr w:rsidR="00A820D7" w:rsidRPr="008C034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6A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7164B"/>
    <w:multiLevelType w:val="hybridMultilevel"/>
    <w:tmpl w:val="36109672"/>
    <w:lvl w:ilvl="0" w:tplc="782E0620">
      <w:start w:val="1"/>
      <w:numFmt w:val="decimal"/>
      <w:pStyle w:val="151NL"/>
      <w:lvlText w:val="Art. 15:%1."/>
      <w:lvlJc w:val="left"/>
      <w:pPr>
        <w:ind w:left="2629" w:hanging="360"/>
      </w:pPr>
      <w:rPr>
        <w:rFonts w:ascii="Palatino Linotype" w:hAnsi="Palatino Linotype" w:hint="default"/>
        <w:b w:val="0"/>
        <w:i w:val="0"/>
        <w:color w:val="0000FF"/>
        <w:sz w:val="2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93AAC"/>
    <w:rsid w:val="000B17B4"/>
    <w:rsid w:val="000C102E"/>
    <w:rsid w:val="000D6A2A"/>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1F57D8"/>
    <w:rsid w:val="00210D98"/>
    <w:rsid w:val="0021135B"/>
    <w:rsid w:val="00213D83"/>
    <w:rsid w:val="00214ADA"/>
    <w:rsid w:val="00216A35"/>
    <w:rsid w:val="002337A0"/>
    <w:rsid w:val="002419BA"/>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E76C0"/>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A767C"/>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2BB9"/>
    <w:rsid w:val="006D501B"/>
    <w:rsid w:val="006D6DC3"/>
    <w:rsid w:val="006F4576"/>
    <w:rsid w:val="0070142C"/>
    <w:rsid w:val="00701DD9"/>
    <w:rsid w:val="00706549"/>
    <w:rsid w:val="00710A28"/>
    <w:rsid w:val="00710C81"/>
    <w:rsid w:val="00723421"/>
    <w:rsid w:val="0073233C"/>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481"/>
    <w:rsid w:val="00853C03"/>
    <w:rsid w:val="00863AF1"/>
    <w:rsid w:val="00871F22"/>
    <w:rsid w:val="00887B0C"/>
    <w:rsid w:val="008A17D9"/>
    <w:rsid w:val="008B2189"/>
    <w:rsid w:val="008C0348"/>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E54E8"/>
    <w:rsid w:val="00BF1861"/>
    <w:rsid w:val="00BF2646"/>
    <w:rsid w:val="00C01CC2"/>
    <w:rsid w:val="00C01CFA"/>
    <w:rsid w:val="00C12A40"/>
    <w:rsid w:val="00C162B3"/>
    <w:rsid w:val="00C166D1"/>
    <w:rsid w:val="00C1753D"/>
    <w:rsid w:val="00C3062C"/>
    <w:rsid w:val="00C4014C"/>
    <w:rsid w:val="00C47A8C"/>
    <w:rsid w:val="00C509F8"/>
    <w:rsid w:val="00C52F6F"/>
    <w:rsid w:val="00C65CB4"/>
    <w:rsid w:val="00C72E4C"/>
    <w:rsid w:val="00C80883"/>
    <w:rsid w:val="00C80921"/>
    <w:rsid w:val="00C86467"/>
    <w:rsid w:val="00C86CC5"/>
    <w:rsid w:val="00C91A38"/>
    <w:rsid w:val="00C9498E"/>
    <w:rsid w:val="00CA1557"/>
    <w:rsid w:val="00CA5454"/>
    <w:rsid w:val="00CB08CB"/>
    <w:rsid w:val="00CB210A"/>
    <w:rsid w:val="00CB3250"/>
    <w:rsid w:val="00CB6FFB"/>
    <w:rsid w:val="00CC6422"/>
    <w:rsid w:val="00CD523B"/>
    <w:rsid w:val="00CF7AC1"/>
    <w:rsid w:val="00D102E1"/>
    <w:rsid w:val="00D134F7"/>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207A"/>
    <w:rsid w:val="00E15370"/>
    <w:rsid w:val="00E15CFE"/>
    <w:rsid w:val="00E21F8D"/>
    <w:rsid w:val="00E24674"/>
    <w:rsid w:val="00E26DE4"/>
    <w:rsid w:val="00E511E0"/>
    <w:rsid w:val="00E53C0F"/>
    <w:rsid w:val="00E719D5"/>
    <w:rsid w:val="00E72BF6"/>
    <w:rsid w:val="00E83EEB"/>
    <w:rsid w:val="00E85F7D"/>
    <w:rsid w:val="00E92F68"/>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2D5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53481"/>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853481"/>
    <w:rPr>
      <w:rFonts w:eastAsiaTheme="majorEastAsia" w:cstheme="majorBidi"/>
      <w:color w:val="000000" w:themeColor="text1"/>
      <w:szCs w:val="32"/>
    </w:rPr>
  </w:style>
  <w:style w:type="paragraph" w:customStyle="1" w:styleId="151NL">
    <w:name w:val="15:1 NL"/>
    <w:basedOn w:val="Standaard"/>
    <w:link w:val="151NLChar"/>
    <w:qFormat/>
    <w:rsid w:val="001F57D8"/>
    <w:pPr>
      <w:numPr>
        <w:numId w:val="1"/>
      </w:numPr>
      <w:tabs>
        <w:tab w:val="left" w:pos="992"/>
      </w:tabs>
      <w:spacing w:after="0" w:line="240" w:lineRule="auto"/>
      <w:ind w:left="0" w:firstLine="0"/>
      <w:jc w:val="both"/>
    </w:pPr>
    <w:rPr>
      <w:rFonts w:ascii="Palatino Linotype" w:eastAsia="Times New Roman" w:hAnsi="Palatino Linotype" w:cs="Times New Roman"/>
      <w:sz w:val="20"/>
      <w:szCs w:val="20"/>
      <w:lang w:val="fr-FR"/>
    </w:rPr>
  </w:style>
  <w:style w:type="character" w:customStyle="1" w:styleId="151NLChar">
    <w:name w:val="15:1 NL Char"/>
    <w:basedOn w:val="Standaardalinea-lettertype"/>
    <w:link w:val="151NL"/>
    <w:rsid w:val="001F57D8"/>
    <w:rPr>
      <w:rFonts w:ascii="Palatino Linotype" w:eastAsia="Times New Roman" w:hAnsi="Palatino Linotype" w:cs="Times New Roman"/>
      <w:sz w:val="20"/>
      <w:szCs w:val="20"/>
      <w:lang w:val="fr-FR"/>
    </w:rPr>
  </w:style>
  <w:style w:type="character" w:styleId="Hyperlink">
    <w:name w:val="Hyperlink"/>
    <w:basedOn w:val="Standaardalinea-lettertype"/>
    <w:uiPriority w:val="99"/>
    <w:unhideWhenUsed/>
    <w:rsid w:val="00853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cp:revision>
  <dcterms:created xsi:type="dcterms:W3CDTF">2021-08-17T07:01:00Z</dcterms:created>
  <dcterms:modified xsi:type="dcterms:W3CDTF">2022-02-07T16:00:00Z</dcterms:modified>
</cp:coreProperties>
</file>