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11B23155" w14:textId="77777777" w:rsidTr="007D7A6B">
        <w:tc>
          <w:tcPr>
            <w:tcW w:w="1980" w:type="dxa"/>
          </w:tcPr>
          <w:p w14:paraId="06DDF283"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8F5C10">
              <w:rPr>
                <w:b/>
                <w:sz w:val="32"/>
                <w:szCs w:val="32"/>
                <w:lang w:val="nl-BE"/>
              </w:rPr>
              <w:t>:85</w:t>
            </w:r>
          </w:p>
        </w:tc>
        <w:tc>
          <w:tcPr>
            <w:tcW w:w="11765" w:type="dxa"/>
            <w:gridSpan w:val="2"/>
            <w:shd w:val="clear" w:color="auto" w:fill="auto"/>
          </w:tcPr>
          <w:p w14:paraId="0BAD480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B2996DA" w14:textId="77777777" w:rsidTr="007D7A6B">
        <w:tc>
          <w:tcPr>
            <w:tcW w:w="1980" w:type="dxa"/>
          </w:tcPr>
          <w:p w14:paraId="7C1B4119" w14:textId="77777777" w:rsidR="001203BA" w:rsidRPr="00B07AC9" w:rsidRDefault="001203BA" w:rsidP="007D7A6B">
            <w:pPr>
              <w:rPr>
                <w:b/>
                <w:sz w:val="32"/>
                <w:szCs w:val="32"/>
                <w:lang w:val="nl-BE"/>
              </w:rPr>
            </w:pPr>
          </w:p>
        </w:tc>
        <w:tc>
          <w:tcPr>
            <w:tcW w:w="11765" w:type="dxa"/>
            <w:gridSpan w:val="2"/>
            <w:shd w:val="clear" w:color="auto" w:fill="auto"/>
          </w:tcPr>
          <w:p w14:paraId="3C9D5744"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7F3E84" w14:paraId="373751A3" w14:textId="77777777" w:rsidTr="00D66F68">
        <w:trPr>
          <w:trHeight w:val="1937"/>
        </w:trPr>
        <w:tc>
          <w:tcPr>
            <w:tcW w:w="1980" w:type="dxa"/>
          </w:tcPr>
          <w:p w14:paraId="058D3085"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148B1398" w14:textId="77777777" w:rsidR="005A3C17" w:rsidRPr="008F5C10" w:rsidRDefault="008F5C10" w:rsidP="00247403">
            <w:pPr>
              <w:spacing w:after="0" w:line="240" w:lineRule="auto"/>
              <w:jc w:val="both"/>
              <w:rPr>
                <w:rFonts w:cs="Calibri"/>
                <w:lang w:val="nl-BE"/>
              </w:rPr>
            </w:pPr>
            <w:r w:rsidRPr="008F5C10">
              <w:rPr>
                <w:color w:val="000000"/>
                <w:lang w:val="nl-BE"/>
              </w:rPr>
              <w:t xml:space="preserve">In afwijking van de artikelen 2:83 en 2:84 kunnen bij een gerechtelijke ontbinding één of meerdere vereffenaars worden aangewezen door de rechtbank die de ontbinding uitspreekt. Ingeval één of meerdere vereffenaars een rechtspersoon zijn, wijst de rechtbank tevens de natuurlijke persoon aan die de rechtspersoon vertegenwoordigt. </w:t>
            </w:r>
            <w:proofErr w:type="spellStart"/>
            <w:r w:rsidRPr="008F5C10">
              <w:rPr>
                <w:color w:val="000000"/>
              </w:rPr>
              <w:t>Zij</w:t>
            </w:r>
            <w:proofErr w:type="spellEnd"/>
            <w:r w:rsidRPr="008F5C10">
              <w:rPr>
                <w:color w:val="000000"/>
              </w:rPr>
              <w:t xml:space="preserve"> </w:t>
            </w:r>
            <w:proofErr w:type="spellStart"/>
            <w:r w:rsidRPr="008F5C10">
              <w:rPr>
                <w:color w:val="000000"/>
              </w:rPr>
              <w:t>bepaalt</w:t>
            </w:r>
            <w:proofErr w:type="spellEnd"/>
            <w:r w:rsidRPr="008F5C10">
              <w:rPr>
                <w:color w:val="000000"/>
              </w:rPr>
              <w:t xml:space="preserve"> de </w:t>
            </w:r>
            <w:proofErr w:type="spellStart"/>
            <w:r w:rsidRPr="008F5C10">
              <w:rPr>
                <w:color w:val="000000"/>
              </w:rPr>
              <w:t>vereffeningswijze</w:t>
            </w:r>
            <w:proofErr w:type="spellEnd"/>
            <w:r w:rsidRPr="008F5C10">
              <w:rPr>
                <w:color w:val="000000"/>
              </w:rPr>
              <w:t>.</w:t>
            </w:r>
          </w:p>
        </w:tc>
        <w:tc>
          <w:tcPr>
            <w:tcW w:w="5953" w:type="dxa"/>
            <w:shd w:val="clear" w:color="auto" w:fill="auto"/>
          </w:tcPr>
          <w:p w14:paraId="367B6751" w14:textId="77777777" w:rsidR="005A3C17" w:rsidRPr="008F5C10" w:rsidRDefault="008F5C10" w:rsidP="00A4328E">
            <w:pPr>
              <w:spacing w:after="0" w:line="240" w:lineRule="auto"/>
              <w:jc w:val="both"/>
              <w:rPr>
                <w:color w:val="000000"/>
                <w:lang w:val="fr-FR"/>
              </w:rPr>
            </w:pPr>
            <w:r w:rsidRPr="008F5C10">
              <w:rPr>
                <w:color w:val="000000"/>
                <w:lang w:val="fr-FR"/>
              </w:rPr>
              <w:t xml:space="preserve">Par dérogation aux articles </w:t>
            </w:r>
            <w:proofErr w:type="gramStart"/>
            <w:r w:rsidRPr="008F5C10">
              <w:rPr>
                <w:color w:val="000000"/>
                <w:lang w:val="fr-FR"/>
              </w:rPr>
              <w:t>2:</w:t>
            </w:r>
            <w:proofErr w:type="gramEnd"/>
            <w:r w:rsidRPr="008F5C10">
              <w:rPr>
                <w:color w:val="000000"/>
                <w:lang w:val="fr-FR"/>
              </w:rPr>
              <w:t xml:space="preserve">83 et 2:84, en cas de dissolution judiciaire, un ou plusieurs liquidateurs peuvent être désignés par le tribunal qui prononce la dissolution. Au cas où un ou plusieurs liquidateurs sont une personne morale, le tribunal nomme également la personne physique qui représente la personne morale. </w:t>
            </w:r>
            <w:r w:rsidRPr="008F5C10">
              <w:rPr>
                <w:color w:val="000000"/>
              </w:rPr>
              <w:t xml:space="preserve">Il </w:t>
            </w:r>
            <w:proofErr w:type="spellStart"/>
            <w:r w:rsidRPr="008F5C10">
              <w:rPr>
                <w:color w:val="000000"/>
              </w:rPr>
              <w:t>détermine</w:t>
            </w:r>
            <w:proofErr w:type="spellEnd"/>
            <w:r w:rsidRPr="008F5C10">
              <w:rPr>
                <w:color w:val="000000"/>
              </w:rPr>
              <w:t xml:space="preserve"> le mode de liquidation.</w:t>
            </w:r>
          </w:p>
        </w:tc>
      </w:tr>
      <w:tr w:rsidR="00E7214C" w:rsidRPr="007F3E84" w14:paraId="452033F0" w14:textId="77777777" w:rsidTr="00E7214C">
        <w:trPr>
          <w:trHeight w:val="395"/>
        </w:trPr>
        <w:tc>
          <w:tcPr>
            <w:tcW w:w="1980" w:type="dxa"/>
          </w:tcPr>
          <w:p w14:paraId="1BFE1A69" w14:textId="7558E474" w:rsidR="00E7214C" w:rsidRDefault="00E7214C" w:rsidP="007D7A6B">
            <w:pPr>
              <w:spacing w:after="0" w:line="240" w:lineRule="auto"/>
              <w:jc w:val="both"/>
              <w:rPr>
                <w:rFonts w:cs="Calibri"/>
                <w:lang w:val="nl-BE"/>
              </w:rPr>
            </w:pPr>
            <w:r>
              <w:rPr>
                <w:rFonts w:cs="Calibri"/>
                <w:lang w:val="nl-BE"/>
              </w:rPr>
              <w:t>Ontwerp</w:t>
            </w:r>
          </w:p>
        </w:tc>
        <w:tc>
          <w:tcPr>
            <w:tcW w:w="5812" w:type="dxa"/>
            <w:shd w:val="clear" w:color="auto" w:fill="auto"/>
          </w:tcPr>
          <w:p w14:paraId="7E47EB0F" w14:textId="6E412A6D" w:rsidR="00E7214C" w:rsidRPr="008F5C10" w:rsidRDefault="00E7214C" w:rsidP="00247403">
            <w:pPr>
              <w:spacing w:after="0" w:line="240" w:lineRule="auto"/>
              <w:jc w:val="both"/>
              <w:rPr>
                <w:color w:val="000000"/>
                <w:lang w:val="nl-BE"/>
              </w:rPr>
            </w:pPr>
            <w:r>
              <w:rPr>
                <w:color w:val="000000"/>
                <w:lang w:val="nl-BE"/>
              </w:rPr>
              <w:t>Geen artikel.</w:t>
            </w:r>
          </w:p>
        </w:tc>
        <w:tc>
          <w:tcPr>
            <w:tcW w:w="5953" w:type="dxa"/>
            <w:shd w:val="clear" w:color="auto" w:fill="auto"/>
          </w:tcPr>
          <w:p w14:paraId="28119224" w14:textId="55059434" w:rsidR="00E7214C" w:rsidRPr="008F5C10" w:rsidRDefault="00E7214C" w:rsidP="00A4328E">
            <w:pPr>
              <w:spacing w:after="0" w:line="240" w:lineRule="auto"/>
              <w:jc w:val="both"/>
              <w:rPr>
                <w:color w:val="000000"/>
                <w:lang w:val="fr-FR"/>
              </w:rPr>
            </w:pPr>
            <w:r>
              <w:rPr>
                <w:color w:val="000000"/>
                <w:lang w:val="fr-FR"/>
              </w:rPr>
              <w:t>Pas d’article.</w:t>
            </w:r>
          </w:p>
        </w:tc>
      </w:tr>
      <w:tr w:rsidR="00E7214C" w:rsidRPr="007F3E84" w14:paraId="3845B8C7" w14:textId="77777777" w:rsidTr="00D66F68">
        <w:trPr>
          <w:trHeight w:val="405"/>
        </w:trPr>
        <w:tc>
          <w:tcPr>
            <w:tcW w:w="1980" w:type="dxa"/>
          </w:tcPr>
          <w:p w14:paraId="6043B16E" w14:textId="77777777" w:rsidR="00E7214C" w:rsidRDefault="00E7214C" w:rsidP="007D7A6B">
            <w:pPr>
              <w:spacing w:after="0" w:line="240" w:lineRule="auto"/>
              <w:jc w:val="both"/>
              <w:rPr>
                <w:rFonts w:cs="Calibri"/>
                <w:lang w:val="nl-BE"/>
              </w:rPr>
            </w:pPr>
            <w:r>
              <w:rPr>
                <w:rFonts w:cs="Calibri"/>
                <w:lang w:val="nl-BE"/>
              </w:rPr>
              <w:t>Voorontwerp</w:t>
            </w:r>
          </w:p>
        </w:tc>
        <w:tc>
          <w:tcPr>
            <w:tcW w:w="5812" w:type="dxa"/>
            <w:shd w:val="clear" w:color="auto" w:fill="auto"/>
          </w:tcPr>
          <w:p w14:paraId="1FFAB349" w14:textId="77777777" w:rsidR="00E7214C" w:rsidRPr="008F5C10" w:rsidRDefault="00E7214C" w:rsidP="00247403">
            <w:pPr>
              <w:spacing w:after="0" w:line="240" w:lineRule="auto"/>
              <w:jc w:val="both"/>
              <w:rPr>
                <w:color w:val="000000"/>
                <w:lang w:val="nl-BE"/>
              </w:rPr>
            </w:pPr>
            <w:r>
              <w:rPr>
                <w:color w:val="000000"/>
                <w:lang w:val="nl-BE"/>
              </w:rPr>
              <w:t>Geen artikel.</w:t>
            </w:r>
          </w:p>
        </w:tc>
        <w:tc>
          <w:tcPr>
            <w:tcW w:w="5953" w:type="dxa"/>
            <w:shd w:val="clear" w:color="auto" w:fill="auto"/>
          </w:tcPr>
          <w:p w14:paraId="6FBCC7B1" w14:textId="77777777" w:rsidR="00E7214C" w:rsidRPr="008F5C10" w:rsidRDefault="00E7214C" w:rsidP="00A4328E">
            <w:pPr>
              <w:spacing w:after="0" w:line="240" w:lineRule="auto"/>
              <w:jc w:val="both"/>
              <w:rPr>
                <w:color w:val="000000"/>
                <w:lang w:val="fr-FR"/>
              </w:rPr>
            </w:pPr>
            <w:r>
              <w:rPr>
                <w:color w:val="000000"/>
                <w:lang w:val="fr-FR"/>
              </w:rPr>
              <w:t>Pas d’article.</w:t>
            </w:r>
          </w:p>
        </w:tc>
      </w:tr>
      <w:tr w:rsidR="00E7214C" w:rsidRPr="007F3E84" w14:paraId="12E0D232" w14:textId="77777777" w:rsidTr="00D66F68">
        <w:trPr>
          <w:trHeight w:val="405"/>
        </w:trPr>
        <w:tc>
          <w:tcPr>
            <w:tcW w:w="1980" w:type="dxa"/>
          </w:tcPr>
          <w:p w14:paraId="15563DAD" w14:textId="77777777" w:rsidR="00E7214C" w:rsidRDefault="00E7214C" w:rsidP="007D7A6B">
            <w:pPr>
              <w:spacing w:after="0" w:line="240" w:lineRule="auto"/>
              <w:jc w:val="both"/>
              <w:rPr>
                <w:rFonts w:cs="Calibri"/>
                <w:lang w:val="nl-BE"/>
              </w:rPr>
            </w:pPr>
            <w:r>
              <w:rPr>
                <w:rFonts w:cs="Calibri"/>
                <w:lang w:val="nl-BE"/>
              </w:rPr>
              <w:t>MvT</w:t>
            </w:r>
          </w:p>
        </w:tc>
        <w:tc>
          <w:tcPr>
            <w:tcW w:w="5812" w:type="dxa"/>
            <w:shd w:val="clear" w:color="auto" w:fill="auto"/>
          </w:tcPr>
          <w:p w14:paraId="2888DDC8" w14:textId="77777777" w:rsidR="00E7214C" w:rsidRDefault="00E7214C" w:rsidP="00247403">
            <w:pPr>
              <w:spacing w:after="0" w:line="240" w:lineRule="auto"/>
              <w:jc w:val="both"/>
              <w:rPr>
                <w:color w:val="000000"/>
                <w:lang w:val="nl-BE"/>
              </w:rPr>
            </w:pPr>
            <w:r>
              <w:rPr>
                <w:color w:val="000000"/>
                <w:lang w:val="nl-BE"/>
              </w:rPr>
              <w:t>Geen opmerkingen.</w:t>
            </w:r>
            <w:bookmarkStart w:id="0" w:name="_GoBack"/>
            <w:bookmarkEnd w:id="0"/>
          </w:p>
        </w:tc>
        <w:tc>
          <w:tcPr>
            <w:tcW w:w="5953" w:type="dxa"/>
            <w:shd w:val="clear" w:color="auto" w:fill="auto"/>
          </w:tcPr>
          <w:p w14:paraId="25B10385" w14:textId="77777777" w:rsidR="00E7214C" w:rsidRDefault="00E7214C" w:rsidP="00A4328E">
            <w:pPr>
              <w:spacing w:after="0" w:line="240" w:lineRule="auto"/>
              <w:jc w:val="both"/>
              <w:rPr>
                <w:color w:val="000000"/>
                <w:lang w:val="fr-FR"/>
              </w:rPr>
            </w:pPr>
            <w:r>
              <w:rPr>
                <w:color w:val="000000"/>
                <w:lang w:val="fr-FR"/>
              </w:rPr>
              <w:t>Pas de remarques.</w:t>
            </w:r>
          </w:p>
        </w:tc>
      </w:tr>
      <w:tr w:rsidR="00E7214C" w:rsidRPr="00D66F68" w14:paraId="42020B98" w14:textId="77777777" w:rsidTr="00D66F68">
        <w:trPr>
          <w:trHeight w:val="405"/>
        </w:trPr>
        <w:tc>
          <w:tcPr>
            <w:tcW w:w="1980" w:type="dxa"/>
          </w:tcPr>
          <w:p w14:paraId="55EC8993" w14:textId="77777777" w:rsidR="00E7214C" w:rsidRDefault="00E7214C" w:rsidP="007D7A6B">
            <w:pPr>
              <w:spacing w:after="0" w:line="240" w:lineRule="auto"/>
              <w:jc w:val="both"/>
              <w:rPr>
                <w:rFonts w:cs="Calibri"/>
                <w:lang w:val="nl-BE"/>
              </w:rPr>
            </w:pPr>
            <w:r>
              <w:rPr>
                <w:rFonts w:cs="Calibri"/>
                <w:lang w:val="nl-BE"/>
              </w:rPr>
              <w:t>RvSt</w:t>
            </w:r>
          </w:p>
        </w:tc>
        <w:tc>
          <w:tcPr>
            <w:tcW w:w="5812" w:type="dxa"/>
            <w:shd w:val="clear" w:color="auto" w:fill="auto"/>
          </w:tcPr>
          <w:p w14:paraId="6E66BC31" w14:textId="77777777" w:rsidR="00E7214C" w:rsidRPr="00D66F68" w:rsidRDefault="00E7214C" w:rsidP="00247403">
            <w:pPr>
              <w:spacing w:after="0" w:line="240" w:lineRule="auto"/>
              <w:jc w:val="both"/>
              <w:rPr>
                <w:color w:val="000000"/>
                <w:lang w:val="nl-BE"/>
              </w:rPr>
            </w:pPr>
            <w:r>
              <w:rPr>
                <w:color w:val="000000"/>
                <w:lang w:val="nl-BE"/>
              </w:rPr>
              <w:t>Geen opmerkingen.</w:t>
            </w:r>
          </w:p>
        </w:tc>
        <w:tc>
          <w:tcPr>
            <w:tcW w:w="5953" w:type="dxa"/>
            <w:shd w:val="clear" w:color="auto" w:fill="auto"/>
          </w:tcPr>
          <w:p w14:paraId="764EA44D" w14:textId="77777777" w:rsidR="00E7214C" w:rsidRPr="00D66F68" w:rsidRDefault="00E7214C" w:rsidP="00D66F68">
            <w:pPr>
              <w:spacing w:after="0" w:line="240" w:lineRule="auto"/>
              <w:jc w:val="both"/>
              <w:rPr>
                <w:color w:val="000000"/>
                <w:lang w:val="fr-FR"/>
              </w:rPr>
            </w:pPr>
            <w:r>
              <w:rPr>
                <w:color w:val="000000"/>
                <w:lang w:val="fr-FR"/>
              </w:rPr>
              <w:t>Pas de remarques.</w:t>
            </w:r>
          </w:p>
        </w:tc>
      </w:tr>
      <w:tr w:rsidR="00E7214C" w:rsidRPr="00D66F68" w14:paraId="587D5C36" w14:textId="77777777" w:rsidTr="00D66F68">
        <w:trPr>
          <w:trHeight w:val="405"/>
        </w:trPr>
        <w:tc>
          <w:tcPr>
            <w:tcW w:w="1980" w:type="dxa"/>
          </w:tcPr>
          <w:p w14:paraId="6383962A" w14:textId="77777777" w:rsidR="00E7214C" w:rsidRDefault="00E7214C" w:rsidP="007D7A6B">
            <w:pPr>
              <w:spacing w:after="0" w:line="240" w:lineRule="auto"/>
              <w:jc w:val="both"/>
              <w:rPr>
                <w:rFonts w:cs="Calibri"/>
                <w:lang w:val="nl-BE"/>
              </w:rPr>
            </w:pPr>
            <w:r>
              <w:rPr>
                <w:rFonts w:cs="Calibri"/>
                <w:lang w:val="nl-BE"/>
              </w:rPr>
              <w:t>Amendement 178</w:t>
            </w:r>
          </w:p>
        </w:tc>
        <w:tc>
          <w:tcPr>
            <w:tcW w:w="5812" w:type="dxa"/>
            <w:shd w:val="clear" w:color="auto" w:fill="auto"/>
          </w:tcPr>
          <w:p w14:paraId="4A24C231" w14:textId="77777777" w:rsidR="00E7214C" w:rsidRDefault="00E7214C" w:rsidP="00D66F68">
            <w:pPr>
              <w:spacing w:after="0" w:line="240" w:lineRule="auto"/>
              <w:jc w:val="both"/>
              <w:rPr>
                <w:color w:val="000000"/>
                <w:lang w:val="nl-BE"/>
              </w:rPr>
            </w:pPr>
            <w:r w:rsidRPr="00D66F68">
              <w:rPr>
                <w:color w:val="000000"/>
                <w:lang w:val="nl-BE"/>
              </w:rPr>
              <w:t>Het voorgestelde artikel 2:80 weglaten.</w:t>
            </w:r>
          </w:p>
          <w:p w14:paraId="7F3AB215" w14:textId="77777777" w:rsidR="00E7214C" w:rsidRPr="00D66F68" w:rsidRDefault="00E7214C" w:rsidP="00D66F68">
            <w:pPr>
              <w:spacing w:after="0" w:line="240" w:lineRule="auto"/>
              <w:jc w:val="both"/>
              <w:rPr>
                <w:color w:val="000000"/>
                <w:lang w:val="nl-BE"/>
              </w:rPr>
            </w:pPr>
          </w:p>
          <w:p w14:paraId="09CEB922" w14:textId="77777777" w:rsidR="00E7214C" w:rsidRDefault="00E7214C" w:rsidP="00D66F68">
            <w:pPr>
              <w:spacing w:after="0" w:line="240" w:lineRule="auto"/>
              <w:jc w:val="both"/>
              <w:rPr>
                <w:color w:val="000000"/>
                <w:lang w:val="nl-BE"/>
              </w:rPr>
            </w:pPr>
            <w:r w:rsidRPr="00D66F68">
              <w:rPr>
                <w:color w:val="000000"/>
                <w:lang w:val="nl-BE"/>
              </w:rPr>
              <w:t>VERANTWOORDING</w:t>
            </w:r>
          </w:p>
          <w:p w14:paraId="5AA0F73C" w14:textId="77777777" w:rsidR="00E7214C" w:rsidRPr="00D66F68" w:rsidRDefault="00E7214C" w:rsidP="00D66F68">
            <w:pPr>
              <w:spacing w:after="0" w:line="240" w:lineRule="auto"/>
              <w:jc w:val="both"/>
              <w:rPr>
                <w:color w:val="000000"/>
                <w:lang w:val="nl-BE"/>
              </w:rPr>
            </w:pPr>
          </w:p>
          <w:p w14:paraId="6C39A73D" w14:textId="77777777" w:rsidR="00E7214C" w:rsidRDefault="00E7214C" w:rsidP="00D66F68">
            <w:pPr>
              <w:spacing w:after="0" w:line="240" w:lineRule="auto"/>
              <w:jc w:val="both"/>
              <w:rPr>
                <w:color w:val="000000"/>
                <w:lang w:val="nl-BE"/>
              </w:rPr>
            </w:pPr>
            <w:r w:rsidRPr="00D66F68">
              <w:rPr>
                <w:color w:val="000000"/>
                <w:lang w:val="nl-BE"/>
              </w:rPr>
              <w:t>Dit artikel wordt als een artikel 2:77/1 ondergebracht in</w:t>
            </w:r>
            <w:r>
              <w:rPr>
                <w:color w:val="000000"/>
                <w:lang w:val="nl-BE"/>
              </w:rPr>
              <w:t xml:space="preserve"> </w:t>
            </w:r>
            <w:r w:rsidRPr="00D66F68">
              <w:rPr>
                <w:color w:val="000000"/>
                <w:lang w:val="nl-BE"/>
              </w:rPr>
              <w:t>onderafdeling 1. Algemene bepalingen. Er wordt verwezen</w:t>
            </w:r>
            <w:r>
              <w:rPr>
                <w:color w:val="000000"/>
                <w:lang w:val="nl-BE"/>
              </w:rPr>
              <w:t xml:space="preserve"> </w:t>
            </w:r>
            <w:r w:rsidRPr="00D66F68">
              <w:rPr>
                <w:color w:val="000000"/>
                <w:lang w:val="nl-BE"/>
              </w:rPr>
              <w:t>naar amendement nr. 170.</w:t>
            </w:r>
          </w:p>
        </w:tc>
        <w:tc>
          <w:tcPr>
            <w:tcW w:w="5953" w:type="dxa"/>
            <w:shd w:val="clear" w:color="auto" w:fill="auto"/>
          </w:tcPr>
          <w:p w14:paraId="7AD1C552" w14:textId="77777777" w:rsidR="00E7214C" w:rsidRDefault="00E7214C" w:rsidP="00D66F68">
            <w:pPr>
              <w:spacing w:after="0" w:line="240" w:lineRule="auto"/>
              <w:jc w:val="both"/>
              <w:rPr>
                <w:color w:val="000000"/>
                <w:lang w:val="fr-FR"/>
              </w:rPr>
            </w:pPr>
            <w:r w:rsidRPr="00D66F68">
              <w:rPr>
                <w:color w:val="000000"/>
                <w:lang w:val="fr-FR"/>
              </w:rPr>
              <w:t xml:space="preserve">Abroger l’article </w:t>
            </w:r>
            <w:proofErr w:type="gramStart"/>
            <w:r w:rsidRPr="00D66F68">
              <w:rPr>
                <w:color w:val="000000"/>
                <w:lang w:val="fr-FR"/>
              </w:rPr>
              <w:t>2:</w:t>
            </w:r>
            <w:proofErr w:type="gramEnd"/>
            <w:r w:rsidRPr="00D66F68">
              <w:rPr>
                <w:color w:val="000000"/>
                <w:lang w:val="fr-FR"/>
              </w:rPr>
              <w:t>80 proposé.</w:t>
            </w:r>
          </w:p>
          <w:p w14:paraId="5C8BC5DC" w14:textId="77777777" w:rsidR="00E7214C" w:rsidRPr="00D66F68" w:rsidRDefault="00E7214C" w:rsidP="00D66F68">
            <w:pPr>
              <w:spacing w:after="0" w:line="240" w:lineRule="auto"/>
              <w:jc w:val="both"/>
              <w:rPr>
                <w:color w:val="000000"/>
                <w:lang w:val="fr-FR"/>
              </w:rPr>
            </w:pPr>
          </w:p>
          <w:p w14:paraId="7932787D" w14:textId="77777777" w:rsidR="00E7214C" w:rsidRDefault="00E7214C" w:rsidP="00D66F68">
            <w:pPr>
              <w:spacing w:after="0" w:line="240" w:lineRule="auto"/>
              <w:jc w:val="both"/>
              <w:rPr>
                <w:color w:val="000000"/>
                <w:lang w:val="fr-FR"/>
              </w:rPr>
            </w:pPr>
            <w:r w:rsidRPr="00D66F68">
              <w:rPr>
                <w:color w:val="000000"/>
                <w:lang w:val="fr-FR"/>
              </w:rPr>
              <w:t>JUSTIFICATION</w:t>
            </w:r>
          </w:p>
          <w:p w14:paraId="20453F02" w14:textId="77777777" w:rsidR="00E7214C" w:rsidRPr="00D66F68" w:rsidRDefault="00E7214C" w:rsidP="00D66F68">
            <w:pPr>
              <w:spacing w:after="0" w:line="240" w:lineRule="auto"/>
              <w:jc w:val="both"/>
              <w:rPr>
                <w:color w:val="000000"/>
                <w:lang w:val="fr-FR"/>
              </w:rPr>
            </w:pPr>
          </w:p>
          <w:p w14:paraId="1B8F0346" w14:textId="77777777" w:rsidR="00E7214C" w:rsidRDefault="00E7214C" w:rsidP="00D66F68">
            <w:pPr>
              <w:spacing w:after="0" w:line="240" w:lineRule="auto"/>
              <w:jc w:val="both"/>
              <w:rPr>
                <w:color w:val="000000"/>
                <w:lang w:val="fr-FR"/>
              </w:rPr>
            </w:pPr>
            <w:r w:rsidRPr="00D66F68">
              <w:rPr>
                <w:color w:val="000000"/>
                <w:lang w:val="fr-FR"/>
              </w:rPr>
              <w:t xml:space="preserve">Cet article est intégré en tant qu’article </w:t>
            </w:r>
            <w:proofErr w:type="gramStart"/>
            <w:r w:rsidRPr="00D66F68">
              <w:rPr>
                <w:color w:val="000000"/>
                <w:lang w:val="fr-FR"/>
              </w:rPr>
              <w:t>2:</w:t>
            </w:r>
            <w:proofErr w:type="gramEnd"/>
            <w:r w:rsidRPr="00D66F68">
              <w:rPr>
                <w:color w:val="000000"/>
                <w:lang w:val="fr-FR"/>
              </w:rPr>
              <w:t>77/1 dans la</w:t>
            </w:r>
            <w:r>
              <w:rPr>
                <w:color w:val="000000"/>
                <w:lang w:val="fr-FR"/>
              </w:rPr>
              <w:t xml:space="preserve"> </w:t>
            </w:r>
            <w:r w:rsidRPr="00D66F68">
              <w:rPr>
                <w:color w:val="000000"/>
                <w:lang w:val="fr-FR"/>
              </w:rPr>
              <w:t>sous-section 1. Dispositions générales. Il est renvoyé à</w:t>
            </w:r>
            <w:r>
              <w:rPr>
                <w:color w:val="000000"/>
                <w:lang w:val="fr-FR"/>
              </w:rPr>
              <w:t xml:space="preserve"> </w:t>
            </w:r>
            <w:r w:rsidRPr="00D66F68">
              <w:rPr>
                <w:color w:val="000000"/>
                <w:lang w:val="fr-FR"/>
              </w:rPr>
              <w:t>l’amendement n° 170.</w:t>
            </w:r>
          </w:p>
        </w:tc>
      </w:tr>
    </w:tbl>
    <w:p w14:paraId="5C475DE8" w14:textId="77777777" w:rsidR="001203BA" w:rsidRPr="00D66F68" w:rsidRDefault="001203BA" w:rsidP="001203BA">
      <w:pPr>
        <w:rPr>
          <w:lang w:val="fr-FR"/>
        </w:rPr>
      </w:pPr>
    </w:p>
    <w:p w14:paraId="38EA6267" w14:textId="77777777" w:rsidR="00A820D7" w:rsidRPr="00D66F68" w:rsidRDefault="00A820D7">
      <w:pPr>
        <w:rPr>
          <w:lang w:val="fr-FR"/>
        </w:rPr>
      </w:pPr>
    </w:p>
    <w:sectPr w:rsidR="00A820D7" w:rsidRPr="00D66F6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91BAC"/>
    <w:rsid w:val="00193578"/>
    <w:rsid w:val="00214A14"/>
    <w:rsid w:val="00214ADA"/>
    <w:rsid w:val="0023238B"/>
    <w:rsid w:val="002337A0"/>
    <w:rsid w:val="00247403"/>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B5A5B"/>
    <w:rsid w:val="003D0AC2"/>
    <w:rsid w:val="003F24EE"/>
    <w:rsid w:val="00405DE9"/>
    <w:rsid w:val="00415C03"/>
    <w:rsid w:val="00423115"/>
    <w:rsid w:val="0047203B"/>
    <w:rsid w:val="004A17A8"/>
    <w:rsid w:val="004A39E3"/>
    <w:rsid w:val="004C3052"/>
    <w:rsid w:val="004C63AD"/>
    <w:rsid w:val="00525185"/>
    <w:rsid w:val="005269F8"/>
    <w:rsid w:val="00562DB1"/>
    <w:rsid w:val="005A3C17"/>
    <w:rsid w:val="005C7CE3"/>
    <w:rsid w:val="005D0563"/>
    <w:rsid w:val="00641B71"/>
    <w:rsid w:val="00645D75"/>
    <w:rsid w:val="006A735D"/>
    <w:rsid w:val="00701529"/>
    <w:rsid w:val="00710A28"/>
    <w:rsid w:val="00710C81"/>
    <w:rsid w:val="007228C4"/>
    <w:rsid w:val="00736D86"/>
    <w:rsid w:val="007463B2"/>
    <w:rsid w:val="007532BF"/>
    <w:rsid w:val="007B581C"/>
    <w:rsid w:val="007D7A6B"/>
    <w:rsid w:val="007F3E84"/>
    <w:rsid w:val="00817848"/>
    <w:rsid w:val="00871F22"/>
    <w:rsid w:val="00887B0C"/>
    <w:rsid w:val="008B2189"/>
    <w:rsid w:val="008D71F7"/>
    <w:rsid w:val="008E164C"/>
    <w:rsid w:val="008F5C10"/>
    <w:rsid w:val="009172D4"/>
    <w:rsid w:val="0092668A"/>
    <w:rsid w:val="00931EFA"/>
    <w:rsid w:val="00935E60"/>
    <w:rsid w:val="00943313"/>
    <w:rsid w:val="009627E9"/>
    <w:rsid w:val="009D0B3E"/>
    <w:rsid w:val="009F648C"/>
    <w:rsid w:val="009F7906"/>
    <w:rsid w:val="00A0074A"/>
    <w:rsid w:val="00A13E93"/>
    <w:rsid w:val="00A152BE"/>
    <w:rsid w:val="00A235B1"/>
    <w:rsid w:val="00A3727E"/>
    <w:rsid w:val="00A4328E"/>
    <w:rsid w:val="00A72BBC"/>
    <w:rsid w:val="00A820D7"/>
    <w:rsid w:val="00AA0CC7"/>
    <w:rsid w:val="00AA1A7C"/>
    <w:rsid w:val="00AA5A92"/>
    <w:rsid w:val="00AB42F7"/>
    <w:rsid w:val="00AC1B18"/>
    <w:rsid w:val="00AC1E91"/>
    <w:rsid w:val="00AC6758"/>
    <w:rsid w:val="00AD0549"/>
    <w:rsid w:val="00B21052"/>
    <w:rsid w:val="00B31670"/>
    <w:rsid w:val="00B41CE6"/>
    <w:rsid w:val="00B43558"/>
    <w:rsid w:val="00B50606"/>
    <w:rsid w:val="00B54127"/>
    <w:rsid w:val="00B64F56"/>
    <w:rsid w:val="00B779CF"/>
    <w:rsid w:val="00BA26D2"/>
    <w:rsid w:val="00BB7E4A"/>
    <w:rsid w:val="00BC0ED2"/>
    <w:rsid w:val="00BC1A74"/>
    <w:rsid w:val="00BE2349"/>
    <w:rsid w:val="00BF1861"/>
    <w:rsid w:val="00C01CFA"/>
    <w:rsid w:val="00C07EE2"/>
    <w:rsid w:val="00C15E9B"/>
    <w:rsid w:val="00C162B3"/>
    <w:rsid w:val="00C80883"/>
    <w:rsid w:val="00C86467"/>
    <w:rsid w:val="00C86CC5"/>
    <w:rsid w:val="00C91A38"/>
    <w:rsid w:val="00CC6422"/>
    <w:rsid w:val="00D63CB9"/>
    <w:rsid w:val="00D66D82"/>
    <w:rsid w:val="00D66F68"/>
    <w:rsid w:val="00D96002"/>
    <w:rsid w:val="00E1324B"/>
    <w:rsid w:val="00E15CFE"/>
    <w:rsid w:val="00E21F8D"/>
    <w:rsid w:val="00E26DE4"/>
    <w:rsid w:val="00E511E0"/>
    <w:rsid w:val="00E7214C"/>
    <w:rsid w:val="00ED31D7"/>
    <w:rsid w:val="00ED3B78"/>
    <w:rsid w:val="00EF485F"/>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581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1106</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cp:revision>
  <cp:lastPrinted>2021-08-17T07:06:00Z</cp:lastPrinted>
  <dcterms:created xsi:type="dcterms:W3CDTF">2021-08-17T07:06:00Z</dcterms:created>
  <dcterms:modified xsi:type="dcterms:W3CDTF">2021-08-17T07:06:00Z</dcterms:modified>
</cp:coreProperties>
</file>