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6AA309C" w14:textId="77777777" w:rsidTr="007D7A6B">
        <w:tc>
          <w:tcPr>
            <w:tcW w:w="1980" w:type="dxa"/>
          </w:tcPr>
          <w:p w14:paraId="04493B09"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86156">
              <w:rPr>
                <w:b/>
                <w:sz w:val="32"/>
                <w:szCs w:val="32"/>
                <w:lang w:val="nl-BE"/>
              </w:rPr>
              <w:t>:86</w:t>
            </w:r>
          </w:p>
        </w:tc>
        <w:tc>
          <w:tcPr>
            <w:tcW w:w="11765" w:type="dxa"/>
            <w:gridSpan w:val="2"/>
            <w:shd w:val="clear" w:color="auto" w:fill="auto"/>
          </w:tcPr>
          <w:p w14:paraId="086A722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6045F58" w14:textId="77777777" w:rsidTr="007D7A6B">
        <w:tc>
          <w:tcPr>
            <w:tcW w:w="1980" w:type="dxa"/>
          </w:tcPr>
          <w:p w14:paraId="7A17C6D5" w14:textId="77777777" w:rsidR="001203BA" w:rsidRPr="00B07AC9" w:rsidRDefault="001203BA" w:rsidP="007D7A6B">
            <w:pPr>
              <w:rPr>
                <w:b/>
                <w:sz w:val="32"/>
                <w:szCs w:val="32"/>
                <w:lang w:val="nl-BE"/>
              </w:rPr>
            </w:pPr>
          </w:p>
        </w:tc>
        <w:tc>
          <w:tcPr>
            <w:tcW w:w="11765" w:type="dxa"/>
            <w:gridSpan w:val="2"/>
            <w:shd w:val="clear" w:color="auto" w:fill="auto"/>
          </w:tcPr>
          <w:p w14:paraId="7D33C473"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7439BD" w14:paraId="5BB343E6" w14:textId="77777777" w:rsidTr="0084388A">
        <w:trPr>
          <w:trHeight w:val="1228"/>
        </w:trPr>
        <w:tc>
          <w:tcPr>
            <w:tcW w:w="1980" w:type="dxa"/>
          </w:tcPr>
          <w:p w14:paraId="30CA9EA4"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834D417" w14:textId="77777777" w:rsidR="005A3C17" w:rsidRPr="00786156" w:rsidRDefault="00786156" w:rsidP="00247403">
            <w:pPr>
              <w:spacing w:after="0" w:line="240" w:lineRule="auto"/>
              <w:jc w:val="both"/>
              <w:rPr>
                <w:rFonts w:cs="Calibri"/>
                <w:lang w:val="nl-BE"/>
              </w:rPr>
            </w:pPr>
            <w:r w:rsidRPr="00786156">
              <w:rPr>
                <w:color w:val="000000"/>
                <w:lang w:val="nl-BE"/>
              </w:rPr>
              <w:t>De voorzitter van de bevoegde rechtbank kan op verzoek van het openbaar ministerie of van iedere belanghebbende derde één of meer vereffenaars vervangen wegens wettige reden, na hen te hebben gehoord.</w:t>
            </w:r>
          </w:p>
        </w:tc>
        <w:tc>
          <w:tcPr>
            <w:tcW w:w="5953" w:type="dxa"/>
            <w:shd w:val="clear" w:color="auto" w:fill="auto"/>
          </w:tcPr>
          <w:p w14:paraId="4DB96061" w14:textId="77777777" w:rsidR="005A3C17" w:rsidRPr="00786156" w:rsidRDefault="00786156" w:rsidP="00A4328E">
            <w:pPr>
              <w:spacing w:after="0" w:line="240" w:lineRule="auto"/>
              <w:jc w:val="both"/>
              <w:rPr>
                <w:color w:val="000000"/>
                <w:lang w:val="fr-FR"/>
              </w:rPr>
            </w:pPr>
            <w:r w:rsidRPr="00786156">
              <w:rPr>
                <w:color w:val="000000"/>
                <w:lang w:val="fr-FR"/>
              </w:rPr>
              <w:t>Le président du tribunal compétent peut, sur requête du ministère public ou de tout tiers intéressé, remplacer un ou plusieurs liquidateurs pour de justes motifs, après les avoir entendus.</w:t>
            </w:r>
          </w:p>
        </w:tc>
      </w:tr>
      <w:tr w:rsidR="00CD72B7" w:rsidRPr="007439BD" w14:paraId="19743739" w14:textId="77777777" w:rsidTr="0084388A">
        <w:trPr>
          <w:trHeight w:val="1228"/>
        </w:trPr>
        <w:tc>
          <w:tcPr>
            <w:tcW w:w="1980" w:type="dxa"/>
          </w:tcPr>
          <w:p w14:paraId="00526E53" w14:textId="411A7618" w:rsidR="00CD72B7" w:rsidRPr="00CD72B7" w:rsidRDefault="00CD72B7"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755F082B" w14:textId="2F313C7A" w:rsidR="00CD72B7" w:rsidRPr="00CD72B7" w:rsidRDefault="00CD72B7" w:rsidP="00247403">
            <w:pPr>
              <w:spacing w:after="0" w:line="240" w:lineRule="auto"/>
              <w:jc w:val="both"/>
              <w:rPr>
                <w:color w:val="000000"/>
                <w:lang w:val="nl-NL"/>
              </w:rPr>
            </w:pPr>
            <w:r w:rsidRPr="007439BD">
              <w:rPr>
                <w:lang w:val="nl-BE"/>
              </w:rPr>
              <w:t>Art. 2:81. De voorzitter van de bevoegde rechtbank kan op verzoek van het openbaar ministerie of van iedere belanghebbende derde één of meer vereffenaars vervangen wegens wettige reden, na hen te hebben gehoord.</w:t>
            </w:r>
          </w:p>
        </w:tc>
        <w:tc>
          <w:tcPr>
            <w:tcW w:w="5953" w:type="dxa"/>
            <w:shd w:val="clear" w:color="auto" w:fill="auto"/>
          </w:tcPr>
          <w:p w14:paraId="59C9454B" w14:textId="0EE9F249" w:rsidR="00CD72B7" w:rsidRPr="00786156" w:rsidRDefault="00CD72B7" w:rsidP="00A4328E">
            <w:pPr>
              <w:spacing w:after="0" w:line="240" w:lineRule="auto"/>
              <w:jc w:val="both"/>
              <w:rPr>
                <w:color w:val="000000"/>
                <w:lang w:val="fr-FR"/>
              </w:rPr>
            </w:pPr>
            <w:r w:rsidRPr="007439BD">
              <w:rPr>
                <w:lang w:val="fr-FR"/>
              </w:rPr>
              <w:t xml:space="preserve">Art. </w:t>
            </w:r>
            <w:proofErr w:type="gramStart"/>
            <w:r w:rsidRPr="007439BD">
              <w:rPr>
                <w:lang w:val="fr-FR"/>
              </w:rPr>
              <w:t>2:</w:t>
            </w:r>
            <w:proofErr w:type="gramEnd"/>
            <w:r w:rsidRPr="007439BD">
              <w:rPr>
                <w:lang w:val="fr-FR"/>
              </w:rPr>
              <w:t>81. Le président du tribunal compétent peut, sur requête du ministère public ou de tout tiers intéressé, remplacer un ou plusieurs liquidateurs pour de justes motifs, après les avoir entendus.</w:t>
            </w:r>
          </w:p>
        </w:tc>
      </w:tr>
      <w:tr w:rsidR="00CD72B7" w:rsidRPr="00911A14" w14:paraId="33145F16" w14:textId="77777777" w:rsidTr="0084388A">
        <w:trPr>
          <w:trHeight w:val="408"/>
        </w:trPr>
        <w:tc>
          <w:tcPr>
            <w:tcW w:w="1980" w:type="dxa"/>
          </w:tcPr>
          <w:p w14:paraId="0740C685" w14:textId="77777777" w:rsidR="00CD72B7" w:rsidRPr="00911A14" w:rsidRDefault="00CD72B7"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B0C885F" w14:textId="77777777" w:rsidR="00CD72B7" w:rsidRPr="00911A14" w:rsidRDefault="00CD72B7" w:rsidP="00247403">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0AD89D3A" w14:textId="77777777" w:rsidR="00CD72B7" w:rsidRPr="00786156" w:rsidRDefault="00CD72B7" w:rsidP="00A4328E">
            <w:pPr>
              <w:spacing w:after="0" w:line="240" w:lineRule="auto"/>
              <w:jc w:val="both"/>
              <w:rPr>
                <w:color w:val="000000"/>
                <w:lang w:val="fr-FR"/>
              </w:rPr>
            </w:pPr>
            <w:r>
              <w:rPr>
                <w:color w:val="000000"/>
                <w:lang w:val="fr-FR"/>
              </w:rPr>
              <w:t>Pas de l’article.</w:t>
            </w:r>
          </w:p>
        </w:tc>
      </w:tr>
      <w:tr w:rsidR="00CD72B7" w:rsidRPr="007439BD" w14:paraId="75F48A90" w14:textId="77777777" w:rsidTr="0084388A">
        <w:trPr>
          <w:trHeight w:val="408"/>
        </w:trPr>
        <w:tc>
          <w:tcPr>
            <w:tcW w:w="1980" w:type="dxa"/>
          </w:tcPr>
          <w:p w14:paraId="13C7BEAD" w14:textId="77777777" w:rsidR="00CD72B7" w:rsidRDefault="00CD72B7" w:rsidP="00216507">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70EA9D1B" w14:textId="77777777" w:rsidR="00CD72B7" w:rsidRPr="0084388A" w:rsidRDefault="00CD72B7" w:rsidP="00216507">
            <w:pPr>
              <w:spacing w:after="0" w:line="240" w:lineRule="auto"/>
              <w:jc w:val="both"/>
              <w:rPr>
                <w:color w:val="000000"/>
                <w:lang w:val="nl-BE"/>
              </w:rPr>
            </w:pPr>
            <w:r w:rsidRPr="0084388A">
              <w:rPr>
                <w:color w:val="000000"/>
                <w:lang w:val="nl-BE"/>
              </w:rPr>
              <w:t>De ontworpen bepaling herneemt artikel 184, § 4, W.Venn. Voortaan kan de voorzitter van de rechtbank evenwel een einde stellen aan het mandaat van de vereffenaar wegens wettige reden. Dit bekend criterium laat aan de voorzitter een voldoende ruime beoordelingsvrijheid. Men kan bijvoorbeeld denken aan de niet-naleving van de benoemingsformaliteiten neergelegd in de artikelen 2:78 of 2:79, maar ook aan gevallen waarin een vereffening zich als niet-deficitair aandiende (zodat de benoeming van de vereffenaar niet aan de controle van de voorzitter van de rechtbank werd onderworpen), maar dat uiteindelijk toch blijkt te zijn (dat kan onder meer blijken uit een aan de rechtbank over te maken tus</w:t>
            </w:r>
            <w:r>
              <w:rPr>
                <w:color w:val="000000"/>
                <w:lang w:val="nl-BE"/>
              </w:rPr>
              <w:t xml:space="preserve">sentijdse staat). </w:t>
            </w:r>
          </w:p>
        </w:tc>
        <w:tc>
          <w:tcPr>
            <w:tcW w:w="5953" w:type="dxa"/>
            <w:shd w:val="clear" w:color="auto" w:fill="auto"/>
          </w:tcPr>
          <w:p w14:paraId="7399FFBA" w14:textId="77777777" w:rsidR="00CD72B7" w:rsidRPr="0084388A" w:rsidRDefault="00CD72B7" w:rsidP="0084388A">
            <w:pPr>
              <w:spacing w:after="0" w:line="240" w:lineRule="auto"/>
              <w:jc w:val="both"/>
              <w:rPr>
                <w:color w:val="000000"/>
                <w:lang w:val="fr-FR"/>
              </w:rPr>
            </w:pPr>
            <w:r w:rsidRPr="0084388A">
              <w:rPr>
                <w:color w:val="000000"/>
                <w:lang w:val="fr-FR"/>
              </w:rPr>
              <w:t xml:space="preserve">La disposition en projet reprend l’article 184, § 4, C. Soc. Dorénavant le président du tribunal pourra cependant mettre fin au mandat du liquidateur pour de justes motifs. Ce critère bien connu laisse au président un pouvoir d’appréciation suffisamment large. L’on pense au non-respect des formalités de nomination prévues par les articles </w:t>
            </w:r>
            <w:proofErr w:type="gramStart"/>
            <w:r w:rsidRPr="0084388A">
              <w:rPr>
                <w:color w:val="000000"/>
                <w:lang w:val="fr-FR"/>
              </w:rPr>
              <w:t>2:</w:t>
            </w:r>
            <w:proofErr w:type="gramEnd"/>
            <w:r w:rsidRPr="0084388A">
              <w:rPr>
                <w:color w:val="000000"/>
                <w:lang w:val="fr-FR"/>
              </w:rPr>
              <w:t>78 et 2:79, mais également à des cas où la liquidation se présentait comme non-déficitaire (de sorte que la nomination du liquidateur n’a pas été soumise au contrôle du président du tribunal), mais s’avère finalement déficitaire (ce qui peut notamment apparaître des états intermédiaires à produire  au tribunal).</w:t>
            </w:r>
          </w:p>
        </w:tc>
      </w:tr>
      <w:tr w:rsidR="00CD72B7" w:rsidRPr="0084388A" w14:paraId="3C3AF4D1" w14:textId="77777777" w:rsidTr="0084388A">
        <w:trPr>
          <w:trHeight w:val="408"/>
        </w:trPr>
        <w:tc>
          <w:tcPr>
            <w:tcW w:w="1980" w:type="dxa"/>
          </w:tcPr>
          <w:p w14:paraId="4174AA3A" w14:textId="77777777" w:rsidR="00CD72B7" w:rsidRDefault="00CD72B7" w:rsidP="00216507">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33B34CE9" w14:textId="77777777" w:rsidR="00CD72B7" w:rsidRPr="0084388A" w:rsidRDefault="00CD72B7" w:rsidP="00216507">
            <w:pPr>
              <w:spacing w:after="0" w:line="240" w:lineRule="auto"/>
              <w:jc w:val="both"/>
              <w:rPr>
                <w:color w:val="000000"/>
                <w:lang w:val="nl-BE"/>
              </w:rPr>
            </w:pPr>
            <w:r>
              <w:rPr>
                <w:color w:val="000000"/>
                <w:lang w:val="nl-BE"/>
              </w:rPr>
              <w:t>Geen opmerkingen.</w:t>
            </w:r>
          </w:p>
        </w:tc>
        <w:tc>
          <w:tcPr>
            <w:tcW w:w="5953" w:type="dxa"/>
            <w:shd w:val="clear" w:color="auto" w:fill="auto"/>
          </w:tcPr>
          <w:p w14:paraId="009A5852" w14:textId="77777777" w:rsidR="00CD72B7" w:rsidRPr="0084388A" w:rsidRDefault="00CD72B7" w:rsidP="0084388A">
            <w:pPr>
              <w:spacing w:after="0" w:line="240" w:lineRule="auto"/>
              <w:jc w:val="both"/>
              <w:rPr>
                <w:color w:val="000000"/>
                <w:lang w:val="fr-FR"/>
              </w:rPr>
            </w:pPr>
            <w:r>
              <w:rPr>
                <w:color w:val="000000"/>
                <w:lang w:val="fr-FR"/>
              </w:rPr>
              <w:t>Pas de remarques.</w:t>
            </w:r>
          </w:p>
        </w:tc>
      </w:tr>
      <w:tr w:rsidR="00CD72B7" w:rsidRPr="007439BD" w14:paraId="05391701" w14:textId="77777777" w:rsidTr="0084388A">
        <w:trPr>
          <w:trHeight w:val="408"/>
        </w:trPr>
        <w:tc>
          <w:tcPr>
            <w:tcW w:w="1980" w:type="dxa"/>
          </w:tcPr>
          <w:p w14:paraId="3CCEC427" w14:textId="77777777" w:rsidR="00CD72B7" w:rsidRDefault="00CD72B7" w:rsidP="00216507">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shd w:val="clear" w:color="auto" w:fill="auto"/>
          </w:tcPr>
          <w:p w14:paraId="6347E362" w14:textId="77777777" w:rsidR="00CD72B7" w:rsidRPr="0084388A" w:rsidRDefault="00CD72B7" w:rsidP="0084388A">
            <w:pPr>
              <w:spacing w:after="0" w:line="240" w:lineRule="auto"/>
              <w:jc w:val="both"/>
              <w:rPr>
                <w:color w:val="000000"/>
                <w:lang w:val="nl-BE"/>
              </w:rPr>
            </w:pPr>
            <w:r w:rsidRPr="0084388A">
              <w:rPr>
                <w:color w:val="000000"/>
                <w:lang w:val="nl-BE"/>
              </w:rPr>
              <w:t>In deze artikelen en in andere ontworpen artikelen wordt verwezen naar het openbaar ministerie terwijl in nog andere artikelen de procureur des Konings vermeld wordt.</w:t>
            </w:r>
          </w:p>
          <w:p w14:paraId="57EB10EC" w14:textId="77777777" w:rsidR="00CD72B7" w:rsidRDefault="00CD72B7" w:rsidP="0084388A">
            <w:pPr>
              <w:spacing w:after="0" w:line="240" w:lineRule="auto"/>
              <w:jc w:val="both"/>
              <w:rPr>
                <w:color w:val="000000"/>
                <w:lang w:val="nl-BE"/>
              </w:rPr>
            </w:pPr>
            <w:r w:rsidRPr="0084388A">
              <w:rPr>
                <w:color w:val="000000"/>
                <w:lang w:val="nl-BE"/>
              </w:rPr>
              <w:lastRenderedPageBreak/>
              <w:t>Aangezien het de bedoeling is naar dezelfde realiteit te verwijzen, dient telkens dezelfde uitdrukking gebruikt te worden.</w:t>
            </w:r>
          </w:p>
        </w:tc>
        <w:tc>
          <w:tcPr>
            <w:tcW w:w="5953" w:type="dxa"/>
            <w:shd w:val="clear" w:color="auto" w:fill="auto"/>
          </w:tcPr>
          <w:p w14:paraId="6FF52445" w14:textId="77777777" w:rsidR="00CD72B7" w:rsidRPr="0084388A" w:rsidRDefault="00CD72B7" w:rsidP="0084388A">
            <w:pPr>
              <w:spacing w:after="0" w:line="240" w:lineRule="auto"/>
              <w:jc w:val="both"/>
              <w:rPr>
                <w:color w:val="000000"/>
                <w:lang w:val="fr-FR"/>
              </w:rPr>
            </w:pPr>
            <w:r w:rsidRPr="0084388A">
              <w:rPr>
                <w:color w:val="000000"/>
                <w:lang w:val="fr-FR"/>
              </w:rPr>
              <w:lastRenderedPageBreak/>
              <w:t xml:space="preserve">Ces articles, de même que d’autres articles en projet, se réfèrent au ministère public alors que d’autres encore mentionnent le procureur du Roi. </w:t>
            </w:r>
          </w:p>
          <w:p w14:paraId="2A7D528B" w14:textId="77777777" w:rsidR="00CD72B7" w:rsidRPr="0084388A" w:rsidRDefault="00CD72B7" w:rsidP="0084388A">
            <w:pPr>
              <w:spacing w:after="0" w:line="240" w:lineRule="auto"/>
              <w:jc w:val="both"/>
              <w:rPr>
                <w:color w:val="000000"/>
                <w:lang w:val="fr-FR"/>
              </w:rPr>
            </w:pPr>
            <w:r w:rsidRPr="0084388A">
              <w:rPr>
                <w:color w:val="000000"/>
                <w:lang w:val="fr-FR"/>
              </w:rPr>
              <w:t>Dès lors que l’intention est de viser la même réalité, il convient d’uniformiser l’expression utilisée.</w:t>
            </w:r>
          </w:p>
          <w:p w14:paraId="24D4727E" w14:textId="77777777" w:rsidR="00CD72B7" w:rsidRPr="0084388A" w:rsidRDefault="00CD72B7" w:rsidP="0084388A">
            <w:pPr>
              <w:spacing w:after="0" w:line="240" w:lineRule="auto"/>
              <w:jc w:val="both"/>
              <w:rPr>
                <w:color w:val="000000"/>
                <w:lang w:val="fr-FR"/>
              </w:rPr>
            </w:pPr>
          </w:p>
        </w:tc>
      </w:tr>
    </w:tbl>
    <w:p w14:paraId="7A3442EC" w14:textId="77777777" w:rsidR="00A820D7" w:rsidRPr="0084388A" w:rsidRDefault="00A820D7" w:rsidP="007439BD">
      <w:pPr>
        <w:rPr>
          <w:lang w:val="fr-FR"/>
        </w:rPr>
      </w:pPr>
    </w:p>
    <w:sectPr w:rsidR="00A820D7" w:rsidRPr="0084388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09A4"/>
    <w:rsid w:val="00423115"/>
    <w:rsid w:val="0047203B"/>
    <w:rsid w:val="004A17A8"/>
    <w:rsid w:val="004A39E3"/>
    <w:rsid w:val="004C3052"/>
    <w:rsid w:val="004C63AD"/>
    <w:rsid w:val="00525185"/>
    <w:rsid w:val="005269F8"/>
    <w:rsid w:val="00562DB1"/>
    <w:rsid w:val="005A3C17"/>
    <w:rsid w:val="005C7CE3"/>
    <w:rsid w:val="005D0563"/>
    <w:rsid w:val="00641B71"/>
    <w:rsid w:val="00645D75"/>
    <w:rsid w:val="006A735D"/>
    <w:rsid w:val="00701529"/>
    <w:rsid w:val="00710A28"/>
    <w:rsid w:val="00710C81"/>
    <w:rsid w:val="007228C4"/>
    <w:rsid w:val="00736D86"/>
    <w:rsid w:val="007439BD"/>
    <w:rsid w:val="007463B2"/>
    <w:rsid w:val="007532BF"/>
    <w:rsid w:val="00786156"/>
    <w:rsid w:val="007B581C"/>
    <w:rsid w:val="007D7A6B"/>
    <w:rsid w:val="007F3E84"/>
    <w:rsid w:val="00817848"/>
    <w:rsid w:val="0084388A"/>
    <w:rsid w:val="00871F22"/>
    <w:rsid w:val="00887B0C"/>
    <w:rsid w:val="008B2189"/>
    <w:rsid w:val="008D71F7"/>
    <w:rsid w:val="008E164C"/>
    <w:rsid w:val="008F5C10"/>
    <w:rsid w:val="00911A14"/>
    <w:rsid w:val="009172D4"/>
    <w:rsid w:val="00931EFA"/>
    <w:rsid w:val="00935E60"/>
    <w:rsid w:val="00943313"/>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64F56"/>
    <w:rsid w:val="00B779CF"/>
    <w:rsid w:val="00BA26D2"/>
    <w:rsid w:val="00BB7E4A"/>
    <w:rsid w:val="00BC0ED2"/>
    <w:rsid w:val="00BC1A74"/>
    <w:rsid w:val="00BE2349"/>
    <w:rsid w:val="00BF1861"/>
    <w:rsid w:val="00C01CFA"/>
    <w:rsid w:val="00C15E9B"/>
    <w:rsid w:val="00C162B3"/>
    <w:rsid w:val="00C80883"/>
    <w:rsid w:val="00C86467"/>
    <w:rsid w:val="00C86CC5"/>
    <w:rsid w:val="00C91A38"/>
    <w:rsid w:val="00CC6422"/>
    <w:rsid w:val="00CD72B7"/>
    <w:rsid w:val="00D66D82"/>
    <w:rsid w:val="00D96002"/>
    <w:rsid w:val="00E1324B"/>
    <w:rsid w:val="00E15CFE"/>
    <w:rsid w:val="00E21F8D"/>
    <w:rsid w:val="00E26DE4"/>
    <w:rsid w:val="00E511E0"/>
    <w:rsid w:val="00ED31D7"/>
    <w:rsid w:val="00ED3B78"/>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884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2021-08-12T13:57:00Z</dcterms:created>
  <dcterms:modified xsi:type="dcterms:W3CDTF">2021-08-17T07:07:00Z</dcterms:modified>
</cp:coreProperties>
</file>