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5528"/>
        <w:gridCol w:w="567"/>
      </w:tblGrid>
      <w:tr w:rsidR="00E44F29" w:rsidRPr="00741FED" w14:paraId="1742EDDB" w14:textId="77777777" w:rsidTr="00E44F29">
        <w:tc>
          <w:tcPr>
            <w:tcW w:w="13178" w:type="dxa"/>
            <w:gridSpan w:val="3"/>
          </w:tcPr>
          <w:p w14:paraId="3CCA5D4D" w14:textId="77777777" w:rsidR="00E44F29" w:rsidRPr="00B07AC9" w:rsidRDefault="00E44F29" w:rsidP="007D7A6B">
            <w:pPr>
              <w:rPr>
                <w:b/>
                <w:sz w:val="32"/>
                <w:szCs w:val="32"/>
                <w:lang w:val="nl-BE"/>
              </w:rPr>
            </w:pPr>
            <w:r>
              <w:rPr>
                <w:b/>
                <w:sz w:val="32"/>
                <w:szCs w:val="32"/>
                <w:lang w:val="nl-BE"/>
              </w:rPr>
              <w:t>Onderafdeling 6. – V</w:t>
            </w:r>
            <w:r w:rsidRPr="00E44F29">
              <w:rPr>
                <w:b/>
                <w:sz w:val="32"/>
                <w:szCs w:val="32"/>
                <w:lang w:val="nl-BE"/>
              </w:rPr>
              <w:t>errichtingen van de vereffening.</w:t>
            </w:r>
          </w:p>
        </w:tc>
        <w:tc>
          <w:tcPr>
            <w:tcW w:w="567" w:type="dxa"/>
            <w:shd w:val="clear" w:color="auto" w:fill="auto"/>
          </w:tcPr>
          <w:p w14:paraId="3A6A3368" w14:textId="77777777" w:rsidR="00E44F29" w:rsidRPr="00382324" w:rsidRDefault="00E44F29"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52549CFB" w14:textId="77777777" w:rsidTr="007D7A6B">
        <w:tc>
          <w:tcPr>
            <w:tcW w:w="1980" w:type="dxa"/>
          </w:tcPr>
          <w:p w14:paraId="7DABB290"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68272B">
              <w:rPr>
                <w:b/>
                <w:sz w:val="32"/>
                <w:szCs w:val="32"/>
                <w:lang w:val="nl-BE"/>
              </w:rPr>
              <w:t>:94</w:t>
            </w:r>
          </w:p>
        </w:tc>
        <w:tc>
          <w:tcPr>
            <w:tcW w:w="11765" w:type="dxa"/>
            <w:gridSpan w:val="3"/>
            <w:shd w:val="clear" w:color="auto" w:fill="auto"/>
          </w:tcPr>
          <w:p w14:paraId="3EEE2D8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6DDD7BB3" w14:textId="77777777" w:rsidTr="007D7A6B">
        <w:tc>
          <w:tcPr>
            <w:tcW w:w="1980" w:type="dxa"/>
          </w:tcPr>
          <w:p w14:paraId="13173156" w14:textId="77777777" w:rsidR="001203BA" w:rsidRPr="00B07AC9" w:rsidRDefault="001203BA" w:rsidP="007D7A6B">
            <w:pPr>
              <w:rPr>
                <w:b/>
                <w:sz w:val="32"/>
                <w:szCs w:val="32"/>
                <w:lang w:val="nl-BE"/>
              </w:rPr>
            </w:pPr>
          </w:p>
        </w:tc>
        <w:tc>
          <w:tcPr>
            <w:tcW w:w="11765" w:type="dxa"/>
            <w:gridSpan w:val="3"/>
            <w:shd w:val="clear" w:color="auto" w:fill="auto"/>
          </w:tcPr>
          <w:p w14:paraId="7BCC7626"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741FED" w14:paraId="126A1B60" w14:textId="77777777" w:rsidTr="0078307F">
        <w:trPr>
          <w:trHeight w:val="1704"/>
        </w:trPr>
        <w:tc>
          <w:tcPr>
            <w:tcW w:w="1980" w:type="dxa"/>
          </w:tcPr>
          <w:p w14:paraId="64DF7172" w14:textId="77777777" w:rsidR="001203BA" w:rsidRDefault="001203BA" w:rsidP="007D7A6B">
            <w:pPr>
              <w:spacing w:after="0" w:line="240" w:lineRule="auto"/>
              <w:jc w:val="both"/>
              <w:rPr>
                <w:rFonts w:cs="Calibri"/>
                <w:lang w:val="nl-BE"/>
              </w:rPr>
            </w:pPr>
            <w:r>
              <w:rPr>
                <w:rFonts w:cs="Calibri"/>
                <w:lang w:val="nl-BE"/>
              </w:rPr>
              <w:t>WVV</w:t>
            </w:r>
          </w:p>
        </w:tc>
        <w:tc>
          <w:tcPr>
            <w:tcW w:w="5670" w:type="dxa"/>
            <w:shd w:val="clear" w:color="auto" w:fill="auto"/>
          </w:tcPr>
          <w:p w14:paraId="6B100026" w14:textId="6B3B76FF" w:rsidR="005A3C17" w:rsidRPr="0068272B" w:rsidRDefault="00741FED" w:rsidP="00247403">
            <w:pPr>
              <w:spacing w:after="0" w:line="240" w:lineRule="auto"/>
              <w:jc w:val="both"/>
              <w:rPr>
                <w:rFonts w:cs="Calibri"/>
                <w:lang w:val="nl-BE"/>
              </w:rPr>
            </w:pPr>
            <w:hyperlink w:anchor="_Amendement_183" w:history="1">
              <w:r w:rsidR="0068272B" w:rsidRPr="00741FED">
                <w:rPr>
                  <w:rStyle w:val="Hyperlink"/>
                  <w:lang w:val="nl-BE"/>
                </w:rPr>
                <w:t>Indien de jaarrekening met betrekking tot het laatste boekjaar en het boekjaar dat eindigt door de ontbinding nog niet ter goedkeuring werd voorgelegd aan de vennoten verenigd in vergadering of de algemene vergadering roept de vereffenaar haar bijeen binnen de in artikel 3:1, § 1, tweede lid, vermelde termijn.</w:t>
              </w:r>
            </w:hyperlink>
          </w:p>
        </w:tc>
        <w:tc>
          <w:tcPr>
            <w:tcW w:w="6095" w:type="dxa"/>
            <w:gridSpan w:val="2"/>
            <w:shd w:val="clear" w:color="auto" w:fill="auto"/>
          </w:tcPr>
          <w:p w14:paraId="5FE2948F" w14:textId="7761683B" w:rsidR="005A3C17" w:rsidRPr="0068272B" w:rsidRDefault="00741FED" w:rsidP="00A4328E">
            <w:pPr>
              <w:spacing w:after="0" w:line="240" w:lineRule="auto"/>
              <w:jc w:val="both"/>
              <w:rPr>
                <w:color w:val="000000"/>
                <w:lang w:val="fr-FR"/>
              </w:rPr>
            </w:pPr>
            <w:hyperlink w:anchor="_Amendement_183_1" w:history="1">
              <w:r w:rsidR="0068272B" w:rsidRPr="00741FED">
                <w:rPr>
                  <w:rStyle w:val="Hyperlink"/>
                  <w:lang w:val="fr-FR"/>
                </w:rPr>
                <w:t xml:space="preserve">Si les comptes annuels concernant le dernier exercice et l'exercice qui s'achève par la dissolution n'ont pas encore été soumis à l'approbation des associés réunis en assemblée ou de l'assemblée générale, le liquidateur convoque celle-ci dans les délais visés à l'article </w:t>
              </w:r>
              <w:proofErr w:type="gramStart"/>
              <w:r w:rsidR="0068272B" w:rsidRPr="00741FED">
                <w:rPr>
                  <w:rStyle w:val="Hyperlink"/>
                  <w:lang w:val="fr-FR"/>
                </w:rPr>
                <w:t>3:</w:t>
              </w:r>
              <w:proofErr w:type="gramEnd"/>
              <w:r w:rsidR="0068272B" w:rsidRPr="00741FED">
                <w:rPr>
                  <w:rStyle w:val="Hyperlink"/>
                  <w:lang w:val="fr-FR"/>
                </w:rPr>
                <w:t>1, § 1</w:t>
              </w:r>
              <w:r w:rsidR="0068272B" w:rsidRPr="00741FED">
                <w:rPr>
                  <w:rStyle w:val="Hyperlink"/>
                  <w:vertAlign w:val="superscript"/>
                  <w:lang w:val="fr-FR"/>
                </w:rPr>
                <w:t>er</w:t>
              </w:r>
              <w:r w:rsidR="0068272B" w:rsidRPr="00741FED">
                <w:rPr>
                  <w:rStyle w:val="Hyperlink"/>
                  <w:lang w:val="fr-FR"/>
                </w:rPr>
                <w:t>, alinéa 2.</w:t>
              </w:r>
            </w:hyperlink>
            <w:bookmarkStart w:id="0" w:name="_GoBack"/>
            <w:bookmarkEnd w:id="0"/>
          </w:p>
        </w:tc>
      </w:tr>
      <w:tr w:rsidR="00AF1E1F" w:rsidRPr="00AF1E1F" w14:paraId="674790FB" w14:textId="77777777" w:rsidTr="00AF1E1F">
        <w:trPr>
          <w:trHeight w:val="408"/>
        </w:trPr>
        <w:tc>
          <w:tcPr>
            <w:tcW w:w="1980" w:type="dxa"/>
          </w:tcPr>
          <w:p w14:paraId="64BC7B51" w14:textId="2EE7F3E7" w:rsidR="00AF1E1F" w:rsidRDefault="00AF1E1F" w:rsidP="007D7A6B">
            <w:pPr>
              <w:spacing w:after="0" w:line="240" w:lineRule="auto"/>
              <w:jc w:val="both"/>
              <w:rPr>
                <w:rFonts w:cs="Calibri"/>
                <w:lang w:val="nl-BE"/>
              </w:rPr>
            </w:pPr>
            <w:proofErr w:type="spellStart"/>
            <w:r>
              <w:rPr>
                <w:rFonts w:cs="Calibri"/>
                <w:lang w:val="fr-FR"/>
              </w:rPr>
              <w:t>Ontwerp</w:t>
            </w:r>
            <w:proofErr w:type="spellEnd"/>
          </w:p>
        </w:tc>
        <w:tc>
          <w:tcPr>
            <w:tcW w:w="5670" w:type="dxa"/>
            <w:shd w:val="clear" w:color="auto" w:fill="auto"/>
          </w:tcPr>
          <w:p w14:paraId="2DD3B90B" w14:textId="1384A0CA" w:rsidR="00AF1E1F" w:rsidRPr="0068272B" w:rsidRDefault="00AF1E1F" w:rsidP="00247403">
            <w:pPr>
              <w:spacing w:after="0" w:line="240" w:lineRule="auto"/>
              <w:jc w:val="both"/>
              <w:rPr>
                <w:color w:val="000000"/>
                <w:lang w:val="nl-BE"/>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p>
        </w:tc>
        <w:tc>
          <w:tcPr>
            <w:tcW w:w="6095" w:type="dxa"/>
            <w:gridSpan w:val="2"/>
            <w:shd w:val="clear" w:color="auto" w:fill="auto"/>
          </w:tcPr>
          <w:p w14:paraId="2E6EAF4B" w14:textId="62191DE1" w:rsidR="00AF1E1F" w:rsidRPr="0068272B" w:rsidRDefault="00AF1E1F" w:rsidP="00A4328E">
            <w:pPr>
              <w:spacing w:after="0" w:line="240" w:lineRule="auto"/>
              <w:jc w:val="both"/>
              <w:rPr>
                <w:color w:val="000000"/>
                <w:lang w:val="fr-FR"/>
              </w:rPr>
            </w:pPr>
            <w:r>
              <w:rPr>
                <w:color w:val="000000"/>
                <w:lang w:val="fr-FR"/>
              </w:rPr>
              <w:t>Pas de l’article.</w:t>
            </w:r>
          </w:p>
        </w:tc>
      </w:tr>
      <w:tr w:rsidR="00AF1E1F" w:rsidRPr="0015390E" w14:paraId="0495315E" w14:textId="77777777" w:rsidTr="0078307F">
        <w:trPr>
          <w:trHeight w:val="456"/>
        </w:trPr>
        <w:tc>
          <w:tcPr>
            <w:tcW w:w="1980" w:type="dxa"/>
          </w:tcPr>
          <w:p w14:paraId="0BA8FB29" w14:textId="77777777" w:rsidR="00AF1E1F" w:rsidRPr="00813F74" w:rsidRDefault="00AF1E1F" w:rsidP="007D7A6B">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6CB7F9BB" w14:textId="77777777" w:rsidR="00AF1E1F" w:rsidRPr="00813F74" w:rsidRDefault="00AF1E1F" w:rsidP="00813F74">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p>
        </w:tc>
        <w:tc>
          <w:tcPr>
            <w:tcW w:w="6095" w:type="dxa"/>
            <w:gridSpan w:val="2"/>
            <w:shd w:val="clear" w:color="auto" w:fill="auto"/>
          </w:tcPr>
          <w:p w14:paraId="68F470B8" w14:textId="77777777" w:rsidR="00AF1E1F" w:rsidRPr="0068272B" w:rsidRDefault="00AF1E1F" w:rsidP="0015390E">
            <w:pPr>
              <w:spacing w:after="0" w:line="240" w:lineRule="auto"/>
              <w:jc w:val="both"/>
              <w:rPr>
                <w:color w:val="000000"/>
                <w:lang w:val="fr-FR"/>
              </w:rPr>
            </w:pPr>
            <w:r>
              <w:rPr>
                <w:color w:val="000000"/>
                <w:lang w:val="fr-FR"/>
              </w:rPr>
              <w:t>Pas de l’article.</w:t>
            </w:r>
          </w:p>
        </w:tc>
      </w:tr>
      <w:tr w:rsidR="00AF1E1F" w:rsidRPr="0015390E" w14:paraId="0E0436B0" w14:textId="77777777" w:rsidTr="0078307F">
        <w:trPr>
          <w:trHeight w:val="456"/>
        </w:trPr>
        <w:tc>
          <w:tcPr>
            <w:tcW w:w="1980" w:type="dxa"/>
          </w:tcPr>
          <w:p w14:paraId="18AA2932" w14:textId="77777777" w:rsidR="00AF1E1F" w:rsidRDefault="00AF1E1F" w:rsidP="007D7A6B">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52FB2FF7" w14:textId="77777777" w:rsidR="00AF1E1F" w:rsidRDefault="00AF1E1F" w:rsidP="00813F74">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6095" w:type="dxa"/>
            <w:gridSpan w:val="2"/>
            <w:shd w:val="clear" w:color="auto" w:fill="auto"/>
          </w:tcPr>
          <w:p w14:paraId="096BF78B" w14:textId="77777777" w:rsidR="00AF1E1F" w:rsidRDefault="00AF1E1F" w:rsidP="0015390E">
            <w:pPr>
              <w:spacing w:after="0" w:line="240" w:lineRule="auto"/>
              <w:jc w:val="both"/>
              <w:rPr>
                <w:color w:val="000000"/>
                <w:lang w:val="fr-FR"/>
              </w:rPr>
            </w:pPr>
            <w:r>
              <w:rPr>
                <w:color w:val="000000"/>
                <w:lang w:val="fr-FR"/>
              </w:rPr>
              <w:t>Pas de remarques.</w:t>
            </w:r>
          </w:p>
        </w:tc>
      </w:tr>
      <w:tr w:rsidR="00AF1E1F" w:rsidRPr="0015390E" w14:paraId="3D573278" w14:textId="77777777" w:rsidTr="001F1C86">
        <w:trPr>
          <w:trHeight w:val="456"/>
        </w:trPr>
        <w:tc>
          <w:tcPr>
            <w:tcW w:w="1980" w:type="dxa"/>
          </w:tcPr>
          <w:p w14:paraId="52B2B156" w14:textId="77777777" w:rsidR="00AF1E1F" w:rsidRDefault="00AF1E1F" w:rsidP="001F1C86">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2C4A214F" w14:textId="77777777" w:rsidR="00AF1E1F" w:rsidRDefault="00AF1E1F" w:rsidP="001F1C86">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6095" w:type="dxa"/>
            <w:gridSpan w:val="2"/>
            <w:shd w:val="clear" w:color="auto" w:fill="auto"/>
          </w:tcPr>
          <w:p w14:paraId="32ECB136" w14:textId="77777777" w:rsidR="00AF1E1F" w:rsidRDefault="00AF1E1F" w:rsidP="001F1C86">
            <w:pPr>
              <w:spacing w:after="0" w:line="240" w:lineRule="auto"/>
              <w:jc w:val="both"/>
              <w:rPr>
                <w:color w:val="000000"/>
                <w:lang w:val="fr-FR"/>
              </w:rPr>
            </w:pPr>
            <w:r>
              <w:rPr>
                <w:color w:val="000000"/>
                <w:lang w:val="fr-FR"/>
              </w:rPr>
              <w:t>Pas de remarques.</w:t>
            </w:r>
          </w:p>
        </w:tc>
      </w:tr>
      <w:tr w:rsidR="00AF1E1F" w:rsidRPr="00E51C5C" w14:paraId="47F15AE2" w14:textId="77777777" w:rsidTr="0078307F">
        <w:trPr>
          <w:trHeight w:val="456"/>
        </w:trPr>
        <w:tc>
          <w:tcPr>
            <w:tcW w:w="1980" w:type="dxa"/>
          </w:tcPr>
          <w:p w14:paraId="5537F4DE" w14:textId="77777777" w:rsidR="00AF1E1F" w:rsidRDefault="00AF1E1F" w:rsidP="00741FED">
            <w:pPr>
              <w:pStyle w:val="Kop1"/>
              <w:rPr>
                <w:lang w:val="fr-FR"/>
              </w:rPr>
            </w:pPr>
            <w:bookmarkStart w:id="1" w:name="_Amendement_183"/>
            <w:bookmarkStart w:id="2" w:name="_Amendement_183_1"/>
            <w:bookmarkEnd w:id="1"/>
            <w:bookmarkEnd w:id="2"/>
            <w:r>
              <w:rPr>
                <w:lang w:val="fr-FR"/>
              </w:rPr>
              <w:lastRenderedPageBreak/>
              <w:t>Amendement 183</w:t>
            </w:r>
          </w:p>
        </w:tc>
        <w:tc>
          <w:tcPr>
            <w:tcW w:w="5670" w:type="dxa"/>
            <w:shd w:val="clear" w:color="auto" w:fill="auto"/>
          </w:tcPr>
          <w:p w14:paraId="5EB9C93B" w14:textId="77777777" w:rsidR="00AF1E1F" w:rsidRPr="0078307F" w:rsidRDefault="00AF1E1F" w:rsidP="0078307F">
            <w:pPr>
              <w:spacing w:after="0" w:line="240" w:lineRule="auto"/>
              <w:jc w:val="both"/>
              <w:rPr>
                <w:color w:val="000000"/>
                <w:lang w:val="nl-BE"/>
              </w:rPr>
            </w:pPr>
            <w:r w:rsidRPr="0078307F">
              <w:rPr>
                <w:color w:val="000000"/>
                <w:lang w:val="nl-BE"/>
              </w:rPr>
              <w:t>In het voorgestelde deel 1, boek 2, titel 8, hoofdstuk</w:t>
            </w:r>
            <w:r>
              <w:rPr>
                <w:color w:val="000000"/>
                <w:lang w:val="nl-BE"/>
              </w:rPr>
              <w:t xml:space="preserve"> </w:t>
            </w:r>
            <w:r w:rsidRPr="0078307F">
              <w:rPr>
                <w:color w:val="000000"/>
                <w:lang w:val="nl-BE"/>
              </w:rPr>
              <w:t>1, afdeling 2, onderafdeling 5 “Verrichtingen van</w:t>
            </w:r>
            <w:r>
              <w:rPr>
                <w:color w:val="000000"/>
                <w:lang w:val="nl-BE"/>
              </w:rPr>
              <w:t xml:space="preserve"> </w:t>
            </w:r>
            <w:r w:rsidRPr="0078307F">
              <w:rPr>
                <w:color w:val="000000"/>
                <w:lang w:val="nl-BE"/>
              </w:rPr>
              <w:t>de vereffening” een artikel 2:88/1 invoegen, luidende:</w:t>
            </w:r>
          </w:p>
          <w:p w14:paraId="1869BB72" w14:textId="77777777" w:rsidR="00AF1E1F" w:rsidRDefault="00AF1E1F" w:rsidP="0078307F">
            <w:pPr>
              <w:spacing w:after="0" w:line="240" w:lineRule="auto"/>
              <w:jc w:val="both"/>
              <w:rPr>
                <w:color w:val="000000"/>
                <w:lang w:val="nl-BE"/>
              </w:rPr>
            </w:pPr>
            <w:r w:rsidRPr="0078307F">
              <w:rPr>
                <w:color w:val="000000"/>
                <w:lang w:val="nl-BE"/>
              </w:rPr>
              <w:t>“Art. 2:88/1. Indien de jaarrekening met betrekking tot</w:t>
            </w:r>
            <w:r>
              <w:rPr>
                <w:color w:val="000000"/>
                <w:lang w:val="nl-BE"/>
              </w:rPr>
              <w:t xml:space="preserve"> </w:t>
            </w:r>
            <w:r w:rsidRPr="0078307F">
              <w:rPr>
                <w:color w:val="000000"/>
                <w:lang w:val="nl-BE"/>
              </w:rPr>
              <w:t>het laatste boekjaar en het boekjaar dat eindigt door de</w:t>
            </w:r>
            <w:r>
              <w:rPr>
                <w:color w:val="000000"/>
                <w:lang w:val="nl-BE"/>
              </w:rPr>
              <w:t xml:space="preserve"> </w:t>
            </w:r>
            <w:r w:rsidRPr="0078307F">
              <w:rPr>
                <w:color w:val="000000"/>
                <w:lang w:val="nl-BE"/>
              </w:rPr>
              <w:t xml:space="preserve">ontbinding nog niet </w:t>
            </w:r>
            <w:r>
              <w:rPr>
                <w:color w:val="000000"/>
                <w:lang w:val="nl-BE"/>
              </w:rPr>
              <w:t xml:space="preserve">ter goedkeuring werd voorgelegd </w:t>
            </w:r>
            <w:r w:rsidRPr="0078307F">
              <w:rPr>
                <w:color w:val="000000"/>
                <w:lang w:val="nl-BE"/>
              </w:rPr>
              <w:t>aan de vennoten verenigd in vergadering of de algemene</w:t>
            </w:r>
            <w:r>
              <w:rPr>
                <w:color w:val="000000"/>
                <w:lang w:val="nl-BE"/>
              </w:rPr>
              <w:t xml:space="preserve"> </w:t>
            </w:r>
            <w:r w:rsidRPr="0078307F">
              <w:rPr>
                <w:color w:val="000000"/>
                <w:lang w:val="nl-BE"/>
              </w:rPr>
              <w:t>vergadering roept de vereffenaar haa</w:t>
            </w:r>
            <w:r>
              <w:rPr>
                <w:color w:val="000000"/>
                <w:lang w:val="nl-BE"/>
              </w:rPr>
              <w:t xml:space="preserve">r bijeen binnen </w:t>
            </w:r>
            <w:r w:rsidRPr="0078307F">
              <w:rPr>
                <w:color w:val="000000"/>
                <w:lang w:val="nl-BE"/>
              </w:rPr>
              <w:t>de in artikel 3:1, § 1, tweede lid, vermelde termijn.”.</w:t>
            </w:r>
          </w:p>
          <w:p w14:paraId="2B48C42E" w14:textId="77777777" w:rsidR="00AF1E1F" w:rsidRPr="0078307F" w:rsidRDefault="00AF1E1F" w:rsidP="0078307F">
            <w:pPr>
              <w:spacing w:after="0" w:line="240" w:lineRule="auto"/>
              <w:jc w:val="both"/>
              <w:rPr>
                <w:color w:val="000000"/>
                <w:lang w:val="nl-BE"/>
              </w:rPr>
            </w:pPr>
          </w:p>
          <w:p w14:paraId="219AE24B" w14:textId="77777777" w:rsidR="00AF1E1F" w:rsidRDefault="00AF1E1F" w:rsidP="0078307F">
            <w:pPr>
              <w:spacing w:after="0" w:line="240" w:lineRule="auto"/>
              <w:jc w:val="both"/>
              <w:rPr>
                <w:color w:val="000000"/>
                <w:lang w:val="nl-BE"/>
              </w:rPr>
            </w:pPr>
            <w:r w:rsidRPr="0078307F">
              <w:rPr>
                <w:color w:val="000000"/>
                <w:lang w:val="nl-BE"/>
              </w:rPr>
              <w:t>VERANTWOORDING</w:t>
            </w:r>
          </w:p>
          <w:p w14:paraId="4DE818F5" w14:textId="77777777" w:rsidR="00AF1E1F" w:rsidRPr="0078307F" w:rsidRDefault="00AF1E1F" w:rsidP="0078307F">
            <w:pPr>
              <w:spacing w:after="0" w:line="240" w:lineRule="auto"/>
              <w:jc w:val="both"/>
              <w:rPr>
                <w:color w:val="000000"/>
                <w:lang w:val="nl-BE"/>
              </w:rPr>
            </w:pPr>
          </w:p>
          <w:p w14:paraId="5C12544E" w14:textId="77777777" w:rsidR="00AF1E1F" w:rsidRPr="0078307F" w:rsidRDefault="00AF1E1F" w:rsidP="0078307F">
            <w:pPr>
              <w:spacing w:after="0" w:line="240" w:lineRule="auto"/>
              <w:jc w:val="both"/>
              <w:rPr>
                <w:color w:val="000000"/>
                <w:lang w:val="nl-BE"/>
              </w:rPr>
            </w:pPr>
            <w:r w:rsidRPr="0078307F">
              <w:rPr>
                <w:color w:val="000000"/>
                <w:lang w:val="nl-BE"/>
              </w:rPr>
              <w:t>Er is geen bezwaar dat de bestuurders de jaarrekening</w:t>
            </w:r>
            <w:r>
              <w:rPr>
                <w:color w:val="000000"/>
                <w:lang w:val="nl-BE"/>
              </w:rPr>
              <w:t xml:space="preserve"> </w:t>
            </w:r>
            <w:r w:rsidRPr="0078307F">
              <w:rPr>
                <w:color w:val="000000"/>
                <w:lang w:val="nl-BE"/>
              </w:rPr>
              <w:t>afwerken na de ontbindin</w:t>
            </w:r>
            <w:r>
              <w:rPr>
                <w:color w:val="000000"/>
                <w:lang w:val="nl-BE"/>
              </w:rPr>
              <w:t xml:space="preserve">g, maar de bijeenroeping van de </w:t>
            </w:r>
            <w:r w:rsidRPr="0078307F">
              <w:rPr>
                <w:color w:val="000000"/>
                <w:lang w:val="nl-BE"/>
              </w:rPr>
              <w:t>algemene vergadering gebeurt door de vereffenaar. Deze</w:t>
            </w:r>
            <w:r>
              <w:rPr>
                <w:color w:val="000000"/>
                <w:lang w:val="nl-BE"/>
              </w:rPr>
              <w:t xml:space="preserve"> </w:t>
            </w:r>
            <w:r w:rsidRPr="0078307F">
              <w:rPr>
                <w:color w:val="000000"/>
                <w:lang w:val="nl-BE"/>
              </w:rPr>
              <w:t xml:space="preserve">jaarrekening wordt </w:t>
            </w:r>
            <w:r>
              <w:rPr>
                <w:color w:val="000000"/>
                <w:lang w:val="nl-BE"/>
              </w:rPr>
              <w:t xml:space="preserve">na goedkeuring door de algemene vergadering </w:t>
            </w:r>
            <w:r w:rsidRPr="0078307F">
              <w:rPr>
                <w:color w:val="000000"/>
                <w:lang w:val="nl-BE"/>
              </w:rPr>
              <w:t>door toedoen van de vereffenaar openbaar gemaakt.</w:t>
            </w:r>
          </w:p>
          <w:p w14:paraId="4639245B" w14:textId="77777777" w:rsidR="00AF1E1F" w:rsidRPr="0078307F" w:rsidRDefault="00AF1E1F" w:rsidP="0078307F">
            <w:pPr>
              <w:spacing w:after="0" w:line="240" w:lineRule="auto"/>
              <w:jc w:val="both"/>
              <w:rPr>
                <w:color w:val="000000"/>
                <w:lang w:val="nl-BE"/>
              </w:rPr>
            </w:pPr>
            <w:r w:rsidRPr="0078307F">
              <w:rPr>
                <w:color w:val="000000"/>
                <w:lang w:val="nl-BE"/>
              </w:rPr>
              <w:t>Deze praktijk wordt door dit amendement wettelijk verankerd</w:t>
            </w:r>
            <w:r>
              <w:rPr>
                <w:color w:val="000000"/>
                <w:lang w:val="nl-BE"/>
              </w:rPr>
              <w:t xml:space="preserve"> </w:t>
            </w:r>
            <w:r w:rsidRPr="0078307F">
              <w:rPr>
                <w:color w:val="000000"/>
                <w:lang w:val="nl-BE"/>
              </w:rPr>
              <w:t>(zie ook amendement nr. 167).</w:t>
            </w:r>
          </w:p>
        </w:tc>
        <w:tc>
          <w:tcPr>
            <w:tcW w:w="6095" w:type="dxa"/>
            <w:gridSpan w:val="2"/>
            <w:shd w:val="clear" w:color="auto" w:fill="auto"/>
          </w:tcPr>
          <w:p w14:paraId="19347FBE" w14:textId="77777777" w:rsidR="00AF1E1F" w:rsidRPr="0078307F" w:rsidRDefault="00AF1E1F" w:rsidP="0078307F">
            <w:pPr>
              <w:spacing w:after="0" w:line="240" w:lineRule="auto"/>
              <w:jc w:val="both"/>
              <w:rPr>
                <w:color w:val="000000"/>
                <w:lang w:val="fr-FR"/>
              </w:rPr>
            </w:pPr>
            <w:r w:rsidRPr="0078307F">
              <w:rPr>
                <w:color w:val="000000"/>
                <w:lang w:val="fr-FR"/>
              </w:rPr>
              <w:t>Insérer dans la partie 1re, livre 2, titre 8, chapitre</w:t>
            </w:r>
            <w:r>
              <w:rPr>
                <w:color w:val="000000"/>
                <w:lang w:val="fr-FR"/>
              </w:rPr>
              <w:t xml:space="preserve"> </w:t>
            </w:r>
            <w:r w:rsidRPr="0078307F">
              <w:rPr>
                <w:color w:val="000000"/>
                <w:lang w:val="fr-FR"/>
              </w:rPr>
              <w:t>1er, section 2, sous-section 5 “Opérations de la liquidation”</w:t>
            </w:r>
            <w:r>
              <w:rPr>
                <w:color w:val="000000"/>
                <w:lang w:val="fr-FR"/>
              </w:rPr>
              <w:t xml:space="preserve"> </w:t>
            </w:r>
            <w:r w:rsidRPr="0078307F">
              <w:rPr>
                <w:color w:val="000000"/>
                <w:lang w:val="fr-FR"/>
              </w:rPr>
              <w:t xml:space="preserve">un article </w:t>
            </w:r>
            <w:proofErr w:type="gramStart"/>
            <w:r w:rsidRPr="0078307F">
              <w:rPr>
                <w:color w:val="000000"/>
                <w:lang w:val="fr-FR"/>
              </w:rPr>
              <w:t>2:</w:t>
            </w:r>
            <w:proofErr w:type="gramEnd"/>
            <w:r w:rsidRPr="0078307F">
              <w:rPr>
                <w:color w:val="000000"/>
                <w:lang w:val="fr-FR"/>
              </w:rPr>
              <w:t>88/1 rédigé comme suit:</w:t>
            </w:r>
          </w:p>
          <w:p w14:paraId="0E1556D8" w14:textId="77777777" w:rsidR="00AF1E1F" w:rsidRPr="0078307F" w:rsidRDefault="00AF1E1F" w:rsidP="0078307F">
            <w:pPr>
              <w:spacing w:after="0" w:line="240" w:lineRule="auto"/>
              <w:jc w:val="both"/>
              <w:rPr>
                <w:color w:val="000000"/>
                <w:lang w:val="fr-FR"/>
              </w:rPr>
            </w:pPr>
            <w:r w:rsidRPr="0078307F">
              <w:rPr>
                <w:color w:val="000000"/>
                <w:lang w:val="fr-FR"/>
              </w:rPr>
              <w:t xml:space="preserve">“Art. </w:t>
            </w:r>
            <w:proofErr w:type="gramStart"/>
            <w:r w:rsidRPr="0078307F">
              <w:rPr>
                <w:color w:val="000000"/>
                <w:lang w:val="fr-FR"/>
              </w:rPr>
              <w:t>2:</w:t>
            </w:r>
            <w:proofErr w:type="gramEnd"/>
            <w:r w:rsidRPr="0078307F">
              <w:rPr>
                <w:color w:val="000000"/>
                <w:lang w:val="fr-FR"/>
              </w:rPr>
              <w:t>88/1. Si les comptes annuels concernant le</w:t>
            </w:r>
            <w:r>
              <w:rPr>
                <w:color w:val="000000"/>
                <w:lang w:val="fr-FR"/>
              </w:rPr>
              <w:t xml:space="preserve"> </w:t>
            </w:r>
            <w:r w:rsidRPr="0078307F">
              <w:rPr>
                <w:color w:val="000000"/>
                <w:lang w:val="fr-FR"/>
              </w:rPr>
              <w:t>dernier exercice et l’exercice qui s’achève par la dissolution</w:t>
            </w:r>
            <w:r>
              <w:rPr>
                <w:color w:val="000000"/>
                <w:lang w:val="fr-FR"/>
              </w:rPr>
              <w:t xml:space="preserve"> </w:t>
            </w:r>
            <w:r w:rsidRPr="0078307F">
              <w:rPr>
                <w:color w:val="000000"/>
                <w:lang w:val="fr-FR"/>
              </w:rPr>
              <w:t>n’ont pas encore été soumis à l’approbation</w:t>
            </w:r>
            <w:r>
              <w:rPr>
                <w:color w:val="000000"/>
                <w:lang w:val="fr-FR"/>
              </w:rPr>
              <w:t xml:space="preserve"> </w:t>
            </w:r>
            <w:r w:rsidRPr="0078307F">
              <w:rPr>
                <w:color w:val="000000"/>
                <w:lang w:val="fr-FR"/>
              </w:rPr>
              <w:t>des associés réunis en assemblée ou de l’assemblée</w:t>
            </w:r>
            <w:r>
              <w:rPr>
                <w:color w:val="000000"/>
                <w:lang w:val="fr-FR"/>
              </w:rPr>
              <w:t xml:space="preserve"> </w:t>
            </w:r>
            <w:r w:rsidRPr="0078307F">
              <w:rPr>
                <w:color w:val="000000"/>
                <w:lang w:val="fr-FR"/>
              </w:rPr>
              <w:t>générale, le liquidateur convoque celle-ci dans les</w:t>
            </w:r>
            <w:r>
              <w:rPr>
                <w:color w:val="000000"/>
                <w:lang w:val="fr-FR"/>
              </w:rPr>
              <w:t xml:space="preserve"> </w:t>
            </w:r>
            <w:r w:rsidRPr="0078307F">
              <w:rPr>
                <w:color w:val="000000"/>
                <w:lang w:val="fr-FR"/>
              </w:rPr>
              <w:t xml:space="preserve">délais visés à l’article </w:t>
            </w:r>
            <w:proofErr w:type="gramStart"/>
            <w:r w:rsidRPr="0078307F">
              <w:rPr>
                <w:color w:val="000000"/>
                <w:lang w:val="fr-FR"/>
              </w:rPr>
              <w:t>3:</w:t>
            </w:r>
            <w:proofErr w:type="gramEnd"/>
            <w:r w:rsidRPr="0078307F">
              <w:rPr>
                <w:color w:val="000000"/>
                <w:lang w:val="fr-FR"/>
              </w:rPr>
              <w:t>1, § 1er, alinéa 2.”.</w:t>
            </w:r>
          </w:p>
          <w:p w14:paraId="63B1667F" w14:textId="77777777" w:rsidR="00AF1E1F" w:rsidRDefault="00AF1E1F" w:rsidP="0078307F">
            <w:pPr>
              <w:spacing w:after="0" w:line="240" w:lineRule="auto"/>
              <w:jc w:val="both"/>
              <w:rPr>
                <w:color w:val="000000"/>
                <w:lang w:val="fr-FR"/>
              </w:rPr>
            </w:pPr>
          </w:p>
          <w:p w14:paraId="27B601A9" w14:textId="77777777" w:rsidR="00AF1E1F" w:rsidRDefault="00AF1E1F" w:rsidP="0078307F">
            <w:pPr>
              <w:spacing w:after="0" w:line="240" w:lineRule="auto"/>
              <w:jc w:val="both"/>
              <w:rPr>
                <w:color w:val="000000"/>
                <w:lang w:val="fr-FR"/>
              </w:rPr>
            </w:pPr>
            <w:r w:rsidRPr="0078307F">
              <w:rPr>
                <w:color w:val="000000"/>
                <w:lang w:val="fr-FR"/>
              </w:rPr>
              <w:t>JUSTIFICATION</w:t>
            </w:r>
          </w:p>
          <w:p w14:paraId="0C6A7CFA" w14:textId="77777777" w:rsidR="00AF1E1F" w:rsidRPr="0078307F" w:rsidRDefault="00AF1E1F" w:rsidP="0078307F">
            <w:pPr>
              <w:spacing w:after="0" w:line="240" w:lineRule="auto"/>
              <w:jc w:val="both"/>
              <w:rPr>
                <w:color w:val="000000"/>
                <w:lang w:val="fr-FR"/>
              </w:rPr>
            </w:pPr>
          </w:p>
          <w:p w14:paraId="6C49285B" w14:textId="77777777" w:rsidR="00AF1E1F" w:rsidRDefault="00AF1E1F" w:rsidP="0078307F">
            <w:pPr>
              <w:spacing w:after="0" w:line="240" w:lineRule="auto"/>
              <w:jc w:val="both"/>
              <w:rPr>
                <w:color w:val="000000"/>
                <w:lang w:val="nl-BE"/>
              </w:rPr>
            </w:pPr>
            <w:r w:rsidRPr="0078307F">
              <w:rPr>
                <w:color w:val="000000"/>
                <w:lang w:val="fr-FR"/>
              </w:rPr>
              <w:t xml:space="preserve">Rien ne s’oppose à ce que les </w:t>
            </w:r>
            <w:r>
              <w:rPr>
                <w:color w:val="000000"/>
                <w:lang w:val="fr-FR"/>
              </w:rPr>
              <w:t xml:space="preserve">administrateurs finalisent les </w:t>
            </w:r>
            <w:r w:rsidRPr="0078307F">
              <w:rPr>
                <w:color w:val="000000"/>
                <w:lang w:val="fr-FR"/>
              </w:rPr>
              <w:t>comptes annuels après la dissolu</w:t>
            </w:r>
            <w:r>
              <w:rPr>
                <w:color w:val="000000"/>
                <w:lang w:val="fr-FR"/>
              </w:rPr>
              <w:t xml:space="preserve">tion, mais c’est le liquidateur </w:t>
            </w:r>
            <w:r w:rsidRPr="0078307F">
              <w:rPr>
                <w:color w:val="000000"/>
                <w:lang w:val="fr-FR"/>
              </w:rPr>
              <w:t>qui convoque l’assemblée générale. Après avoir été approuvés</w:t>
            </w:r>
            <w:r>
              <w:rPr>
                <w:color w:val="000000"/>
                <w:lang w:val="fr-FR"/>
              </w:rPr>
              <w:t xml:space="preserve"> </w:t>
            </w:r>
            <w:r w:rsidRPr="0078307F">
              <w:rPr>
                <w:color w:val="000000"/>
                <w:lang w:val="fr-FR"/>
              </w:rPr>
              <w:t>par l’assemblée générale, ces comptes annuels sont publiés</w:t>
            </w:r>
            <w:r>
              <w:rPr>
                <w:color w:val="000000"/>
                <w:lang w:val="fr-FR"/>
              </w:rPr>
              <w:t xml:space="preserve"> </w:t>
            </w:r>
            <w:r w:rsidRPr="0078307F">
              <w:rPr>
                <w:color w:val="000000"/>
                <w:lang w:val="fr-FR"/>
              </w:rPr>
              <w:t xml:space="preserve">par l’entremise du liquidateur. </w:t>
            </w:r>
            <w:r w:rsidRPr="0078307F">
              <w:rPr>
                <w:color w:val="000000"/>
                <w:lang w:val="nl-BE"/>
              </w:rPr>
              <w:t xml:space="preserve">(D. Van Gerven, Handboek Vennootschappen, Algemeen Deel, Larcier, </w:t>
            </w:r>
            <w:r>
              <w:rPr>
                <w:color w:val="000000"/>
                <w:lang w:val="nl-BE"/>
              </w:rPr>
              <w:t xml:space="preserve">Bruxelles, 2016, </w:t>
            </w:r>
            <w:r w:rsidRPr="0078307F">
              <w:rPr>
                <w:color w:val="000000"/>
                <w:lang w:val="nl-BE"/>
              </w:rPr>
              <w:t>p. 863-864).</w:t>
            </w:r>
          </w:p>
          <w:p w14:paraId="4D9E2B56" w14:textId="77777777" w:rsidR="00AF1E1F" w:rsidRDefault="00AF1E1F" w:rsidP="0078307F">
            <w:pPr>
              <w:spacing w:after="0" w:line="240" w:lineRule="auto"/>
              <w:jc w:val="both"/>
              <w:rPr>
                <w:color w:val="000000"/>
                <w:lang w:val="fr-FR"/>
              </w:rPr>
            </w:pPr>
            <w:r w:rsidRPr="0078307F">
              <w:rPr>
                <w:color w:val="000000"/>
                <w:lang w:val="fr-FR"/>
              </w:rPr>
              <w:t>Le présent amendement consacre cette pratique</w:t>
            </w:r>
            <w:r>
              <w:rPr>
                <w:color w:val="000000"/>
                <w:lang w:val="fr-FR"/>
              </w:rPr>
              <w:t xml:space="preserve"> </w:t>
            </w:r>
            <w:r w:rsidRPr="0078307F">
              <w:rPr>
                <w:color w:val="000000"/>
                <w:lang w:val="fr-FR"/>
              </w:rPr>
              <w:t>dans la loi (</w:t>
            </w:r>
            <w:proofErr w:type="spellStart"/>
            <w:r w:rsidRPr="0078307F">
              <w:rPr>
                <w:color w:val="000000"/>
                <w:lang w:val="fr-FR"/>
              </w:rPr>
              <w:t>voy</w:t>
            </w:r>
            <w:proofErr w:type="spellEnd"/>
            <w:r w:rsidRPr="0078307F">
              <w:rPr>
                <w:color w:val="000000"/>
                <w:lang w:val="fr-FR"/>
              </w:rPr>
              <w:t xml:space="preserve">. </w:t>
            </w:r>
            <w:proofErr w:type="gramStart"/>
            <w:r w:rsidRPr="0078307F">
              <w:rPr>
                <w:color w:val="000000"/>
                <w:lang w:val="fr-FR"/>
              </w:rPr>
              <w:t>également</w:t>
            </w:r>
            <w:proofErr w:type="gramEnd"/>
            <w:r w:rsidRPr="0078307F">
              <w:rPr>
                <w:color w:val="000000"/>
                <w:lang w:val="fr-FR"/>
              </w:rPr>
              <w:t xml:space="preserve"> amendement n° 167).</w:t>
            </w:r>
          </w:p>
        </w:tc>
      </w:tr>
    </w:tbl>
    <w:p w14:paraId="11386560" w14:textId="77777777" w:rsidR="001203BA" w:rsidRPr="00BD3136" w:rsidRDefault="001203BA" w:rsidP="001203BA">
      <w:pPr>
        <w:rPr>
          <w:lang w:val="fr-FR"/>
        </w:rPr>
      </w:pPr>
    </w:p>
    <w:p w14:paraId="3B95BC1D" w14:textId="77777777" w:rsidR="00A820D7" w:rsidRPr="00BD3136" w:rsidRDefault="00A820D7">
      <w:pPr>
        <w:rPr>
          <w:lang w:val="fr-FR"/>
        </w:rPr>
      </w:pPr>
    </w:p>
    <w:sectPr w:rsidR="00A820D7" w:rsidRPr="00BD313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28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86A2E"/>
    <w:rsid w:val="000B17B4"/>
    <w:rsid w:val="000E14C5"/>
    <w:rsid w:val="00102D66"/>
    <w:rsid w:val="00104701"/>
    <w:rsid w:val="0011776E"/>
    <w:rsid w:val="001203BA"/>
    <w:rsid w:val="0015390E"/>
    <w:rsid w:val="00160A1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F24EE"/>
    <w:rsid w:val="00405DE9"/>
    <w:rsid w:val="00415C03"/>
    <w:rsid w:val="00423115"/>
    <w:rsid w:val="0047203B"/>
    <w:rsid w:val="004A17A8"/>
    <w:rsid w:val="004A39E3"/>
    <w:rsid w:val="004C3052"/>
    <w:rsid w:val="004C63AD"/>
    <w:rsid w:val="00525185"/>
    <w:rsid w:val="005269F8"/>
    <w:rsid w:val="00562DB1"/>
    <w:rsid w:val="00582144"/>
    <w:rsid w:val="005A3C17"/>
    <w:rsid w:val="005C7CE3"/>
    <w:rsid w:val="005D0563"/>
    <w:rsid w:val="00641B71"/>
    <w:rsid w:val="00645D75"/>
    <w:rsid w:val="0068272B"/>
    <w:rsid w:val="006A735D"/>
    <w:rsid w:val="00701529"/>
    <w:rsid w:val="00710A28"/>
    <w:rsid w:val="00710C81"/>
    <w:rsid w:val="007228C4"/>
    <w:rsid w:val="00736D86"/>
    <w:rsid w:val="00741FED"/>
    <w:rsid w:val="007463B2"/>
    <w:rsid w:val="007532BF"/>
    <w:rsid w:val="0078307F"/>
    <w:rsid w:val="00786156"/>
    <w:rsid w:val="007B581C"/>
    <w:rsid w:val="007D7A6B"/>
    <w:rsid w:val="007F3E84"/>
    <w:rsid w:val="00813F74"/>
    <w:rsid w:val="00817848"/>
    <w:rsid w:val="00871F22"/>
    <w:rsid w:val="00887B0C"/>
    <w:rsid w:val="008B2189"/>
    <w:rsid w:val="008D71F7"/>
    <w:rsid w:val="008E164C"/>
    <w:rsid w:val="008F5C10"/>
    <w:rsid w:val="009172D4"/>
    <w:rsid w:val="00931EFA"/>
    <w:rsid w:val="00935E60"/>
    <w:rsid w:val="00943313"/>
    <w:rsid w:val="00960CB5"/>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42F7"/>
    <w:rsid w:val="00AC1B18"/>
    <w:rsid w:val="00AC1E91"/>
    <w:rsid w:val="00AC6758"/>
    <w:rsid w:val="00AD0549"/>
    <w:rsid w:val="00AF1E1F"/>
    <w:rsid w:val="00B20B47"/>
    <w:rsid w:val="00B21052"/>
    <w:rsid w:val="00B31670"/>
    <w:rsid w:val="00B41CE6"/>
    <w:rsid w:val="00B43558"/>
    <w:rsid w:val="00B50606"/>
    <w:rsid w:val="00B54127"/>
    <w:rsid w:val="00B64F56"/>
    <w:rsid w:val="00B779CF"/>
    <w:rsid w:val="00BA26D2"/>
    <w:rsid w:val="00BB7E4A"/>
    <w:rsid w:val="00BC0ED2"/>
    <w:rsid w:val="00BC1A74"/>
    <w:rsid w:val="00BD3136"/>
    <w:rsid w:val="00BE2349"/>
    <w:rsid w:val="00BF1861"/>
    <w:rsid w:val="00C01CFA"/>
    <w:rsid w:val="00C15E9B"/>
    <w:rsid w:val="00C162B3"/>
    <w:rsid w:val="00C80883"/>
    <w:rsid w:val="00C86467"/>
    <w:rsid w:val="00C86CC5"/>
    <w:rsid w:val="00C91A38"/>
    <w:rsid w:val="00CC6422"/>
    <w:rsid w:val="00D66D82"/>
    <w:rsid w:val="00D96002"/>
    <w:rsid w:val="00E1324B"/>
    <w:rsid w:val="00E15CFE"/>
    <w:rsid w:val="00E21F8D"/>
    <w:rsid w:val="00E26DE4"/>
    <w:rsid w:val="00E440D7"/>
    <w:rsid w:val="00E44F29"/>
    <w:rsid w:val="00E511E0"/>
    <w:rsid w:val="00E51C5C"/>
    <w:rsid w:val="00ED31D7"/>
    <w:rsid w:val="00ED3B78"/>
    <w:rsid w:val="00ED5619"/>
    <w:rsid w:val="00EF0379"/>
    <w:rsid w:val="00EF485F"/>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78F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741FED"/>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41FED"/>
    <w:rPr>
      <w:rFonts w:eastAsiaTheme="majorEastAsia" w:cstheme="majorBidi"/>
      <w:color w:val="000000" w:themeColor="text1"/>
      <w:szCs w:val="32"/>
    </w:rPr>
  </w:style>
  <w:style w:type="character" w:styleId="Hyperlink">
    <w:name w:val="Hyperlink"/>
    <w:basedOn w:val="Standaardalinea-lettertype"/>
    <w:uiPriority w:val="99"/>
    <w:unhideWhenUsed/>
    <w:rsid w:val="00741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2342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4</cp:revision>
  <dcterms:created xsi:type="dcterms:W3CDTF">2021-08-12T13:54:00Z</dcterms:created>
  <dcterms:modified xsi:type="dcterms:W3CDTF">2021-08-25T10:02:00Z</dcterms:modified>
</cp:coreProperties>
</file>