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6BD0438D" w14:textId="77777777" w:rsidTr="007D7A6B">
        <w:tc>
          <w:tcPr>
            <w:tcW w:w="1980" w:type="dxa"/>
          </w:tcPr>
          <w:p w14:paraId="7F9D805D" w14:textId="77777777" w:rsidR="001203BA" w:rsidRPr="00B07AC9" w:rsidRDefault="001203BA" w:rsidP="007D7A6B">
            <w:pPr>
              <w:rPr>
                <w:b/>
                <w:sz w:val="32"/>
                <w:szCs w:val="32"/>
                <w:lang w:val="nl-BE"/>
              </w:rPr>
            </w:pPr>
            <w:r w:rsidRPr="00B07AC9">
              <w:rPr>
                <w:b/>
                <w:sz w:val="32"/>
                <w:szCs w:val="32"/>
                <w:lang w:val="nl-BE"/>
              </w:rPr>
              <w:t xml:space="preserve">ARTIKEL </w:t>
            </w:r>
            <w:r w:rsidR="00F11CA2">
              <w:rPr>
                <w:b/>
                <w:sz w:val="32"/>
                <w:szCs w:val="32"/>
                <w:lang w:val="nl-BE"/>
              </w:rPr>
              <w:t>3:23</w:t>
            </w:r>
          </w:p>
        </w:tc>
        <w:tc>
          <w:tcPr>
            <w:tcW w:w="11765" w:type="dxa"/>
            <w:gridSpan w:val="2"/>
            <w:shd w:val="clear" w:color="auto" w:fill="auto"/>
          </w:tcPr>
          <w:p w14:paraId="585263EC"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84774FC" w14:textId="77777777" w:rsidTr="007D7A6B">
        <w:tc>
          <w:tcPr>
            <w:tcW w:w="1980" w:type="dxa"/>
          </w:tcPr>
          <w:p w14:paraId="2FBC6ADD" w14:textId="77777777" w:rsidR="001203BA" w:rsidRPr="00B07AC9" w:rsidRDefault="001203BA" w:rsidP="007D7A6B">
            <w:pPr>
              <w:rPr>
                <w:b/>
                <w:sz w:val="32"/>
                <w:szCs w:val="32"/>
                <w:lang w:val="nl-BE"/>
              </w:rPr>
            </w:pPr>
          </w:p>
        </w:tc>
        <w:tc>
          <w:tcPr>
            <w:tcW w:w="11765" w:type="dxa"/>
            <w:gridSpan w:val="2"/>
            <w:shd w:val="clear" w:color="auto" w:fill="auto"/>
          </w:tcPr>
          <w:p w14:paraId="6A5C76D3"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0305C5" w14:paraId="6D2530C8" w14:textId="77777777" w:rsidTr="00326FAF">
        <w:trPr>
          <w:trHeight w:val="3071"/>
        </w:trPr>
        <w:tc>
          <w:tcPr>
            <w:tcW w:w="1980" w:type="dxa"/>
          </w:tcPr>
          <w:p w14:paraId="685FDCCF"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40A6D561" w14:textId="77777777" w:rsidR="00EB7DA5" w:rsidRDefault="00F11CA2" w:rsidP="00EB7DA5">
            <w:pPr>
              <w:spacing w:after="0" w:line="240" w:lineRule="auto"/>
              <w:jc w:val="both"/>
              <w:rPr>
                <w:color w:val="000000"/>
                <w:lang w:val="nl-BE"/>
              </w:rPr>
            </w:pPr>
            <w:r w:rsidRPr="00F11CA2">
              <w:rPr>
                <w:color w:val="000000"/>
                <w:lang w:val="nl-BE"/>
              </w:rPr>
              <w:t>Elke moedervennootschap moet een geconsolideerde jaarrekening en een jaarverslag over de geconsolideerde jaarrekening opstellen indien zij, alleen of gezamenlijk, één of meer dochterondernemingen controleert.</w:t>
            </w:r>
          </w:p>
          <w:p w14:paraId="5B54BE75" w14:textId="77777777" w:rsidR="005A3C17" w:rsidRPr="00F11CA2" w:rsidRDefault="00F11CA2" w:rsidP="00EB7DA5">
            <w:pPr>
              <w:spacing w:after="0" w:line="240" w:lineRule="auto"/>
              <w:jc w:val="both"/>
              <w:rPr>
                <w:rFonts w:cs="Calibri"/>
                <w:lang w:val="nl-BE"/>
              </w:rPr>
            </w:pPr>
            <w:r w:rsidRPr="00F11CA2">
              <w:rPr>
                <w:color w:val="000000"/>
                <w:lang w:val="nl-BE"/>
              </w:rPr>
              <w:br/>
              <w:t>Een moedervennootschap die alleen maar dochterondernemingen heeft die, gelet op de beoordeling van het geconsolideerd vermogen, de geconsolideerde financiële positie of het geconsolideerd resultaat,</w:t>
            </w:r>
            <w:r w:rsidRPr="00F11CA2">
              <w:rPr>
                <w:color w:val="000000"/>
                <w:lang w:val="nl-BE"/>
              </w:rPr>
              <w:br/>
              <w:t>individueel en tezamen, slechts van te verwaarlozen betekenis zijn, wordt vrijgesteld van de verplichting voorgeschreven in het eerste lid.</w:t>
            </w:r>
          </w:p>
        </w:tc>
        <w:tc>
          <w:tcPr>
            <w:tcW w:w="5953" w:type="dxa"/>
            <w:shd w:val="clear" w:color="auto" w:fill="auto"/>
          </w:tcPr>
          <w:p w14:paraId="5D1B6EA3" w14:textId="77777777" w:rsidR="00326FAF" w:rsidRDefault="00F11CA2" w:rsidP="00FB479E">
            <w:pPr>
              <w:spacing w:after="0" w:line="240" w:lineRule="auto"/>
              <w:jc w:val="both"/>
              <w:rPr>
                <w:color w:val="000000"/>
                <w:lang w:val="fr-FR"/>
              </w:rPr>
            </w:pPr>
            <w:r w:rsidRPr="00F11CA2">
              <w:rPr>
                <w:color w:val="000000"/>
                <w:lang w:val="fr-FR"/>
              </w:rPr>
              <w:t>Toute société mère est tenue d'établir des comptes consolidés et un rapport de gestion sur les comptes consolidés si, seule ou conjointement, elle contrôle une ou plusieurs entreprises filiales.</w:t>
            </w:r>
          </w:p>
          <w:p w14:paraId="00703EC8" w14:textId="77777777" w:rsidR="005A3C17" w:rsidRPr="00F11CA2" w:rsidRDefault="00F11CA2" w:rsidP="00FB479E">
            <w:pPr>
              <w:spacing w:after="0" w:line="240" w:lineRule="auto"/>
              <w:jc w:val="both"/>
              <w:rPr>
                <w:color w:val="000000"/>
                <w:lang w:val="fr-FR"/>
              </w:rPr>
            </w:pPr>
            <w:r w:rsidRPr="00F11CA2">
              <w:rPr>
                <w:color w:val="000000"/>
                <w:lang w:val="fr-FR"/>
              </w:rPr>
              <w:br/>
              <w:t>Une société mère qui ne possède que des entreprises filiales qui, eu égard à l'évaluation du patrimoine consolidé, de la position financière consolidée ou du résultat consolidé, ne présentent tant individuellement que collectivement qu'un intérêt négligeable, est exemptée de l'obligation prévue à l'alinéa 1</w:t>
            </w:r>
            <w:r w:rsidRPr="00F11CA2">
              <w:rPr>
                <w:color w:val="000000"/>
                <w:vertAlign w:val="superscript"/>
                <w:lang w:val="fr-FR"/>
              </w:rPr>
              <w:t>er</w:t>
            </w:r>
            <w:r w:rsidRPr="00F11CA2">
              <w:rPr>
                <w:color w:val="000000"/>
                <w:lang w:val="fr-FR"/>
              </w:rPr>
              <w:t>.</w:t>
            </w:r>
          </w:p>
        </w:tc>
      </w:tr>
      <w:tr w:rsidR="000305C5" w:rsidRPr="000305C5" w14:paraId="54816B3B" w14:textId="77777777" w:rsidTr="00326FAF">
        <w:trPr>
          <w:trHeight w:val="3071"/>
        </w:trPr>
        <w:tc>
          <w:tcPr>
            <w:tcW w:w="1980" w:type="dxa"/>
          </w:tcPr>
          <w:p w14:paraId="46CD565A" w14:textId="77777777" w:rsidR="000305C5" w:rsidRDefault="000305C5" w:rsidP="00E17646">
            <w:pPr>
              <w:spacing w:after="0" w:line="240" w:lineRule="auto"/>
              <w:jc w:val="both"/>
              <w:rPr>
                <w:rFonts w:cs="Calibri"/>
                <w:lang w:val="fr-FR"/>
              </w:rPr>
            </w:pPr>
            <w:proofErr w:type="spellStart"/>
            <w:r>
              <w:rPr>
                <w:rFonts w:cs="Calibri"/>
                <w:lang w:val="fr-FR"/>
              </w:rPr>
              <w:t>Ontwerp</w:t>
            </w:r>
            <w:proofErr w:type="spellEnd"/>
          </w:p>
        </w:tc>
        <w:tc>
          <w:tcPr>
            <w:tcW w:w="5812" w:type="dxa"/>
            <w:shd w:val="clear" w:color="auto" w:fill="auto"/>
          </w:tcPr>
          <w:p w14:paraId="4E769D13" w14:textId="77777777" w:rsidR="000305C5" w:rsidRDefault="000305C5" w:rsidP="00E17646">
            <w:pPr>
              <w:spacing w:after="0" w:line="240" w:lineRule="auto"/>
              <w:jc w:val="both"/>
              <w:rPr>
                <w:color w:val="000000"/>
                <w:lang w:val="nl-BE"/>
              </w:rPr>
            </w:pPr>
            <w:r>
              <w:rPr>
                <w:color w:val="000000"/>
                <w:lang w:val="nl-BE"/>
              </w:rPr>
              <w:t xml:space="preserve">Art. 3:23. </w:t>
            </w:r>
            <w:r w:rsidRPr="00326FAF">
              <w:rPr>
                <w:color w:val="000000"/>
                <w:lang w:val="nl-BE"/>
              </w:rPr>
              <w:t>Elke moedervennootschap moet een geconsolideerde jaarrekening en een jaarverslag over de geconsolideerde jaarrekening opstellen indien zij, alleen of gezamenlijk,  één of meer  dochterondernemingen controleert.</w:t>
            </w:r>
          </w:p>
          <w:p w14:paraId="3774CEB3" w14:textId="77777777" w:rsidR="000305C5" w:rsidRPr="00326FAF" w:rsidRDefault="000305C5" w:rsidP="00E17646">
            <w:pPr>
              <w:spacing w:after="0" w:line="240" w:lineRule="auto"/>
              <w:jc w:val="both"/>
              <w:rPr>
                <w:color w:val="000000"/>
                <w:lang w:val="nl-BE"/>
              </w:rPr>
            </w:pPr>
            <w:r w:rsidRPr="00326FAF">
              <w:rPr>
                <w:color w:val="000000"/>
                <w:lang w:val="nl-BE"/>
              </w:rPr>
              <w:t xml:space="preserve"> </w:t>
            </w:r>
          </w:p>
          <w:p w14:paraId="172A78FB" w14:textId="77777777" w:rsidR="000305C5" w:rsidRDefault="000305C5" w:rsidP="00E17646">
            <w:pPr>
              <w:spacing w:after="0" w:line="240" w:lineRule="auto"/>
              <w:jc w:val="both"/>
              <w:rPr>
                <w:color w:val="000000"/>
                <w:lang w:val="nl-BE"/>
              </w:rPr>
            </w:pPr>
            <w:r w:rsidRPr="00326FAF">
              <w:rPr>
                <w:color w:val="000000"/>
                <w:lang w:val="nl-BE"/>
              </w:rPr>
              <w:t>Een moedervennootschap die alleen maar dochterondernemingen heeft die, gelet op de beoordeling van het geconsolideerd vermogen, de geconsolideerde financiële positie of het geconsolideerd resultaat, individueel en tezamen, slechts van te verwaarlozen betekenis zijn, wordt vrijgesteld van de verplichting voorgeschreven in het eerste lid.</w:t>
            </w:r>
          </w:p>
        </w:tc>
        <w:tc>
          <w:tcPr>
            <w:tcW w:w="5953" w:type="dxa"/>
            <w:shd w:val="clear" w:color="auto" w:fill="auto"/>
          </w:tcPr>
          <w:p w14:paraId="536FE164" w14:textId="77777777" w:rsidR="000305C5" w:rsidRPr="00326FAF" w:rsidRDefault="000305C5" w:rsidP="00E17646">
            <w:pPr>
              <w:spacing w:after="0" w:line="240" w:lineRule="auto"/>
              <w:jc w:val="both"/>
              <w:rPr>
                <w:color w:val="000000"/>
                <w:lang w:val="fr-FR"/>
              </w:rPr>
            </w:pPr>
            <w:r w:rsidRPr="00326FAF">
              <w:rPr>
                <w:color w:val="000000"/>
                <w:lang w:val="fr-FR"/>
              </w:rPr>
              <w:t xml:space="preserve">Art. </w:t>
            </w:r>
            <w:proofErr w:type="gramStart"/>
            <w:r w:rsidRPr="00326FAF">
              <w:rPr>
                <w:color w:val="000000"/>
                <w:lang w:val="fr-FR"/>
              </w:rPr>
              <w:t>3:</w:t>
            </w:r>
            <w:proofErr w:type="gramEnd"/>
            <w:r w:rsidRPr="00326FAF">
              <w:rPr>
                <w:color w:val="000000"/>
                <w:lang w:val="fr-FR"/>
              </w:rPr>
              <w:t xml:space="preserve">23. Toute société mère est tenue d'établir des comptes consolidés et un rapport de gestion sur les comptes consolidés si, seule ou conjointement, elle contrôle une ou plusieurs entreprises filiales. </w:t>
            </w:r>
          </w:p>
          <w:p w14:paraId="0626999D" w14:textId="77777777" w:rsidR="000305C5" w:rsidRPr="00326FAF" w:rsidRDefault="000305C5" w:rsidP="00E17646">
            <w:pPr>
              <w:spacing w:after="0" w:line="240" w:lineRule="auto"/>
              <w:jc w:val="both"/>
              <w:rPr>
                <w:color w:val="000000"/>
                <w:lang w:val="fr-FR"/>
              </w:rPr>
            </w:pPr>
          </w:p>
          <w:p w14:paraId="11DFDF2D" w14:textId="77777777" w:rsidR="000305C5" w:rsidRPr="00326FAF" w:rsidRDefault="000305C5" w:rsidP="00E17646">
            <w:pPr>
              <w:spacing w:after="0" w:line="240" w:lineRule="auto"/>
              <w:jc w:val="both"/>
              <w:rPr>
                <w:color w:val="000000"/>
                <w:lang w:val="fr-FR"/>
              </w:rPr>
            </w:pPr>
            <w:r w:rsidRPr="00326FAF">
              <w:rPr>
                <w:color w:val="000000"/>
                <w:lang w:val="fr-FR"/>
              </w:rPr>
              <w:t xml:space="preserve">Une société mère qui ne possède que des entreprises filiales qui </w:t>
            </w:r>
            <w:proofErr w:type="spellStart"/>
            <w:r w:rsidRPr="00326FAF">
              <w:rPr>
                <w:color w:val="000000"/>
                <w:lang w:val="fr-FR"/>
              </w:rPr>
              <w:t>eu</w:t>
            </w:r>
            <w:proofErr w:type="spellEnd"/>
            <w:r w:rsidRPr="00326FAF">
              <w:rPr>
                <w:color w:val="000000"/>
                <w:lang w:val="fr-FR"/>
              </w:rPr>
              <w:t xml:space="preserve"> égard à l'évaluation du patrimoine consolidé, de la position financière consolidée ou du résultat consolidé, ne présentent tant individuellement que collectivement qu'un intérêt négligeable, est exemptée de l'obligation prévue à l'alinéa 1er.</w:t>
            </w:r>
          </w:p>
        </w:tc>
      </w:tr>
      <w:tr w:rsidR="000305C5" w:rsidRPr="000305C5" w14:paraId="6D62D4BD" w14:textId="77777777" w:rsidTr="00326FAF">
        <w:trPr>
          <w:trHeight w:val="3071"/>
        </w:trPr>
        <w:tc>
          <w:tcPr>
            <w:tcW w:w="1980" w:type="dxa"/>
          </w:tcPr>
          <w:p w14:paraId="03FBA4E2" w14:textId="77777777" w:rsidR="000305C5" w:rsidRPr="00545F5D" w:rsidRDefault="000305C5"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67F11B89" w14:textId="77777777" w:rsidR="000305C5" w:rsidRPr="00545F5D" w:rsidRDefault="000305C5" w:rsidP="00545F5D">
            <w:pPr>
              <w:spacing w:after="0" w:line="240" w:lineRule="auto"/>
              <w:jc w:val="both"/>
              <w:rPr>
                <w:color w:val="000000"/>
                <w:lang w:val="nl-BE"/>
              </w:rPr>
            </w:pPr>
            <w:r>
              <w:rPr>
                <w:color w:val="000000"/>
                <w:lang w:val="nl-BE"/>
              </w:rPr>
              <w:t xml:space="preserve">Art. 3:23. </w:t>
            </w:r>
            <w:r w:rsidRPr="00545F5D">
              <w:rPr>
                <w:color w:val="000000"/>
                <w:lang w:val="nl-BE"/>
              </w:rPr>
              <w:t xml:space="preserve">Elke moedervennootschap moet een geconsolideerde jaarrekening en een jaarverslag over de geconsolideerde jaarrekening opstellen indien zij, alleen of gezamenlijk,  één of meer  dochterondernemingen controleert. </w:t>
            </w:r>
          </w:p>
          <w:p w14:paraId="27BA41C5" w14:textId="77777777" w:rsidR="000305C5" w:rsidRDefault="000305C5" w:rsidP="00545F5D">
            <w:pPr>
              <w:spacing w:after="0" w:line="240" w:lineRule="auto"/>
              <w:jc w:val="both"/>
              <w:rPr>
                <w:color w:val="000000"/>
                <w:lang w:val="nl-BE"/>
              </w:rPr>
            </w:pPr>
            <w:r w:rsidRPr="00545F5D">
              <w:rPr>
                <w:color w:val="000000"/>
                <w:lang w:val="nl-BE"/>
              </w:rPr>
              <w:t xml:space="preserve">  </w:t>
            </w:r>
          </w:p>
          <w:p w14:paraId="2F79E4BB" w14:textId="77777777" w:rsidR="000305C5" w:rsidRPr="00326FAF" w:rsidRDefault="000305C5" w:rsidP="00545F5D">
            <w:pPr>
              <w:spacing w:after="0" w:line="240" w:lineRule="auto"/>
              <w:jc w:val="both"/>
              <w:rPr>
                <w:color w:val="000000"/>
                <w:lang w:val="nl-BE"/>
              </w:rPr>
            </w:pPr>
            <w:r w:rsidRPr="00545F5D">
              <w:rPr>
                <w:color w:val="000000"/>
                <w:lang w:val="nl-BE"/>
              </w:rPr>
              <w:t>Een moedervennootschap die alleen maar dochterondernemingen heeft die, gelet op de beoordeling van het geconsolideerd vermogen, de geconsolideerde financiële positie of het geconsolideerd resultaat, individueel en tezamen, slechts van te verwaarlozen betekenis zijn, wordt vrijgesteld van de verplichting voorgeschreven in het eerste lid.</w:t>
            </w:r>
          </w:p>
        </w:tc>
        <w:tc>
          <w:tcPr>
            <w:tcW w:w="5953" w:type="dxa"/>
            <w:shd w:val="clear" w:color="auto" w:fill="auto"/>
          </w:tcPr>
          <w:p w14:paraId="72489C51" w14:textId="77777777" w:rsidR="000305C5" w:rsidRPr="00545F5D" w:rsidRDefault="000305C5" w:rsidP="00545F5D">
            <w:pPr>
              <w:spacing w:after="0" w:line="240" w:lineRule="auto"/>
              <w:jc w:val="both"/>
              <w:rPr>
                <w:color w:val="000000"/>
                <w:lang w:val="fr-FR"/>
              </w:rPr>
            </w:pPr>
            <w:r>
              <w:rPr>
                <w:color w:val="000000"/>
                <w:lang w:val="fr-FR"/>
              </w:rPr>
              <w:t xml:space="preserve">Art. </w:t>
            </w:r>
            <w:proofErr w:type="gramStart"/>
            <w:r>
              <w:rPr>
                <w:color w:val="000000"/>
                <w:lang w:val="fr-FR"/>
              </w:rPr>
              <w:t>3:</w:t>
            </w:r>
            <w:proofErr w:type="gramEnd"/>
            <w:r>
              <w:rPr>
                <w:color w:val="000000"/>
                <w:lang w:val="fr-FR"/>
              </w:rPr>
              <w:t xml:space="preserve">23. </w:t>
            </w:r>
            <w:r w:rsidRPr="00545F5D">
              <w:rPr>
                <w:color w:val="000000"/>
                <w:lang w:val="fr-FR"/>
              </w:rPr>
              <w:t xml:space="preserve">Toute société mère est tenue d'établir des comptes consolidés et un rapport de gestion sur les comptes consolidés si, seule ou conjointement, elle contrôle une ou plusieurs entreprises filiales. </w:t>
            </w:r>
          </w:p>
          <w:p w14:paraId="66A1CD14" w14:textId="77777777" w:rsidR="000305C5" w:rsidRDefault="000305C5" w:rsidP="00545F5D">
            <w:pPr>
              <w:spacing w:after="0" w:line="240" w:lineRule="auto"/>
              <w:jc w:val="both"/>
              <w:rPr>
                <w:color w:val="000000"/>
                <w:lang w:val="fr-FR"/>
              </w:rPr>
            </w:pPr>
          </w:p>
          <w:p w14:paraId="684569A1" w14:textId="77777777" w:rsidR="000305C5" w:rsidRPr="00545F5D" w:rsidRDefault="000305C5" w:rsidP="00545F5D">
            <w:pPr>
              <w:spacing w:after="0" w:line="240" w:lineRule="auto"/>
              <w:jc w:val="both"/>
              <w:rPr>
                <w:color w:val="000000"/>
                <w:lang w:val="fr-FR"/>
              </w:rPr>
            </w:pPr>
            <w:r w:rsidRPr="00545F5D">
              <w:rPr>
                <w:color w:val="000000"/>
                <w:lang w:val="fr-FR"/>
              </w:rPr>
              <w:t xml:space="preserve">Une société mère qui ne possède que des entreprises filiales qui </w:t>
            </w:r>
            <w:proofErr w:type="spellStart"/>
            <w:r w:rsidRPr="00545F5D">
              <w:rPr>
                <w:color w:val="000000"/>
                <w:lang w:val="fr-FR"/>
              </w:rPr>
              <w:t>eu</w:t>
            </w:r>
            <w:proofErr w:type="spellEnd"/>
            <w:r w:rsidRPr="00545F5D">
              <w:rPr>
                <w:color w:val="000000"/>
                <w:lang w:val="fr-FR"/>
              </w:rPr>
              <w:t xml:space="preserve"> égard à l'évaluation du patrimoine consolidé, de la position financière consolidée ou du résultat consolidé, ne présentent tant individuellement que collectivement qu'un intérêt négligeable, est exemptée de l'obligation prévue à l'alinéa 1er.</w:t>
            </w:r>
          </w:p>
          <w:p w14:paraId="49F23EDF" w14:textId="77777777" w:rsidR="000305C5" w:rsidRPr="00F11CA2" w:rsidRDefault="000305C5" w:rsidP="00FB479E">
            <w:pPr>
              <w:spacing w:after="0" w:line="240" w:lineRule="auto"/>
              <w:jc w:val="both"/>
              <w:rPr>
                <w:color w:val="000000"/>
                <w:lang w:val="fr-FR"/>
              </w:rPr>
            </w:pPr>
          </w:p>
        </w:tc>
      </w:tr>
      <w:tr w:rsidR="000305C5" w:rsidRPr="000305C5" w14:paraId="381F99CC" w14:textId="77777777" w:rsidTr="00326FAF">
        <w:trPr>
          <w:trHeight w:val="3071"/>
        </w:trPr>
        <w:tc>
          <w:tcPr>
            <w:tcW w:w="1980" w:type="dxa"/>
          </w:tcPr>
          <w:p w14:paraId="03884DCD" w14:textId="77777777" w:rsidR="000305C5" w:rsidRDefault="000305C5" w:rsidP="007D7A6B">
            <w:pPr>
              <w:spacing w:after="0" w:line="240" w:lineRule="auto"/>
              <w:jc w:val="both"/>
              <w:rPr>
                <w:rFonts w:cs="Calibri"/>
                <w:lang w:val="fr-FR"/>
              </w:rPr>
            </w:pPr>
            <w:bookmarkStart w:id="0" w:name="_GoBack"/>
            <w:bookmarkEnd w:id="0"/>
            <w:proofErr w:type="spellStart"/>
            <w:r>
              <w:rPr>
                <w:rFonts w:cs="Calibri"/>
                <w:lang w:val="fr-FR"/>
              </w:rPr>
              <w:t>MvT</w:t>
            </w:r>
            <w:proofErr w:type="spellEnd"/>
          </w:p>
        </w:tc>
        <w:tc>
          <w:tcPr>
            <w:tcW w:w="5812" w:type="dxa"/>
            <w:shd w:val="clear" w:color="auto" w:fill="auto"/>
          </w:tcPr>
          <w:p w14:paraId="1F1D5DC2" w14:textId="77777777" w:rsidR="000305C5" w:rsidRPr="00326FAF" w:rsidRDefault="000305C5" w:rsidP="00326FAF">
            <w:pPr>
              <w:spacing w:after="0" w:line="240" w:lineRule="auto"/>
              <w:jc w:val="both"/>
              <w:rPr>
                <w:color w:val="000000"/>
                <w:lang w:val="nl-BE"/>
              </w:rPr>
            </w:pPr>
            <w:r w:rsidRPr="00326FAF">
              <w:rPr>
                <w:color w:val="000000"/>
                <w:lang w:val="nl-BE"/>
              </w:rPr>
              <w:t>Artikelen 3:1 – 3:46 : Deze bepalingen hernemen de artikelen 92-129 W.Venn. met slechts in de volgende artikelen enkele verduidelijkingen en sommige formele verbeteringen van de teksten.</w:t>
            </w:r>
          </w:p>
          <w:p w14:paraId="44A29C5D" w14:textId="77777777" w:rsidR="000305C5" w:rsidRPr="00326FAF" w:rsidRDefault="000305C5" w:rsidP="00326FAF">
            <w:pPr>
              <w:spacing w:after="0" w:line="240" w:lineRule="auto"/>
              <w:jc w:val="both"/>
              <w:rPr>
                <w:color w:val="000000"/>
                <w:lang w:val="nl-BE"/>
              </w:rPr>
            </w:pPr>
          </w:p>
          <w:p w14:paraId="2D55812A" w14:textId="77777777" w:rsidR="000305C5" w:rsidRDefault="000305C5" w:rsidP="00326FAF">
            <w:pPr>
              <w:spacing w:after="0" w:line="240" w:lineRule="auto"/>
              <w:jc w:val="both"/>
              <w:rPr>
                <w:color w:val="000000"/>
                <w:lang w:val="nl-BE"/>
              </w:rPr>
            </w:pPr>
            <w:r w:rsidRPr="00326FAF">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4448F8E1" w14:textId="77777777" w:rsidR="000305C5" w:rsidRPr="00326FAF" w:rsidRDefault="000305C5" w:rsidP="00326FAF">
            <w:pPr>
              <w:spacing w:after="0" w:line="240" w:lineRule="auto"/>
              <w:jc w:val="both"/>
              <w:rPr>
                <w:color w:val="000000"/>
                <w:lang w:val="fr-FR"/>
              </w:rPr>
            </w:pPr>
            <w:r w:rsidRPr="00326FAF">
              <w:rPr>
                <w:color w:val="000000"/>
                <w:lang w:val="fr-FR"/>
              </w:rPr>
              <w:t xml:space="preserve">Articles </w:t>
            </w:r>
            <w:proofErr w:type="gramStart"/>
            <w:r w:rsidRPr="00326FAF">
              <w:rPr>
                <w:color w:val="000000"/>
                <w:lang w:val="fr-FR"/>
              </w:rPr>
              <w:t>3:</w:t>
            </w:r>
            <w:proofErr w:type="gramEnd"/>
            <w:r w:rsidRPr="00326FAF">
              <w:rPr>
                <w:color w:val="000000"/>
                <w:lang w:val="fr-FR"/>
              </w:rPr>
              <w:t xml:space="preserve">1 – 3:46 : Ces dispositions reprennent les articles 92 à 129 C. Soc. </w:t>
            </w:r>
            <w:proofErr w:type="gramStart"/>
            <w:r w:rsidRPr="00326FAF">
              <w:rPr>
                <w:color w:val="000000"/>
                <w:lang w:val="fr-FR"/>
              </w:rPr>
              <w:t>avec</w:t>
            </w:r>
            <w:proofErr w:type="gramEnd"/>
            <w:r w:rsidRPr="00326FAF">
              <w:rPr>
                <w:color w:val="000000"/>
                <w:lang w:val="fr-FR"/>
              </w:rPr>
              <w:t xml:space="preserve"> seulement certains éclaircissements dans les articles suivants et quelques corrections formelles des textes.</w:t>
            </w:r>
          </w:p>
          <w:p w14:paraId="3E80BAA9" w14:textId="77777777" w:rsidR="000305C5" w:rsidRPr="00326FAF" w:rsidRDefault="000305C5" w:rsidP="00326FAF">
            <w:pPr>
              <w:spacing w:after="0" w:line="240" w:lineRule="auto"/>
              <w:jc w:val="both"/>
              <w:rPr>
                <w:color w:val="000000"/>
                <w:lang w:val="fr-FR"/>
              </w:rPr>
            </w:pPr>
          </w:p>
          <w:p w14:paraId="6B85C6F3" w14:textId="77777777" w:rsidR="000305C5" w:rsidRPr="00326FAF" w:rsidRDefault="000305C5" w:rsidP="00326FAF">
            <w:pPr>
              <w:spacing w:after="0" w:line="240" w:lineRule="auto"/>
              <w:jc w:val="both"/>
              <w:rPr>
                <w:color w:val="000000"/>
                <w:lang w:val="fr-FR"/>
              </w:rPr>
            </w:pPr>
            <w:r w:rsidRPr="00326FAF">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062E4527" w14:textId="77777777" w:rsidR="000305C5" w:rsidRPr="00326FAF" w:rsidRDefault="000305C5" w:rsidP="00326FAF">
            <w:pPr>
              <w:spacing w:after="0" w:line="240" w:lineRule="auto"/>
              <w:jc w:val="both"/>
              <w:rPr>
                <w:color w:val="000000"/>
                <w:lang w:val="fr-FR"/>
              </w:rPr>
            </w:pPr>
          </w:p>
        </w:tc>
      </w:tr>
      <w:tr w:rsidR="000305C5" w:rsidRPr="00326FAF" w14:paraId="0D699C89" w14:textId="77777777" w:rsidTr="00EB7DA5">
        <w:trPr>
          <w:trHeight w:val="371"/>
        </w:trPr>
        <w:tc>
          <w:tcPr>
            <w:tcW w:w="1980" w:type="dxa"/>
          </w:tcPr>
          <w:p w14:paraId="2F5BFC87" w14:textId="77777777" w:rsidR="000305C5" w:rsidRDefault="000305C5" w:rsidP="007D7A6B">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76F3A394" w14:textId="77777777" w:rsidR="000305C5" w:rsidRPr="00326FAF" w:rsidRDefault="000305C5" w:rsidP="00326FAF">
            <w:pPr>
              <w:spacing w:after="0" w:line="240" w:lineRule="auto"/>
              <w:jc w:val="both"/>
              <w:rPr>
                <w:color w:val="000000"/>
                <w:lang w:val="nl-BE"/>
              </w:rPr>
            </w:pPr>
            <w:r>
              <w:rPr>
                <w:color w:val="000000"/>
                <w:lang w:val="nl-BE"/>
              </w:rPr>
              <w:t>Geen opmerkingen.</w:t>
            </w:r>
          </w:p>
        </w:tc>
        <w:tc>
          <w:tcPr>
            <w:tcW w:w="5953" w:type="dxa"/>
            <w:shd w:val="clear" w:color="auto" w:fill="auto"/>
          </w:tcPr>
          <w:p w14:paraId="7BD74B1D" w14:textId="77777777" w:rsidR="000305C5" w:rsidRPr="00326FAF" w:rsidRDefault="000305C5" w:rsidP="00326FAF">
            <w:pPr>
              <w:spacing w:after="0" w:line="240" w:lineRule="auto"/>
              <w:jc w:val="both"/>
              <w:rPr>
                <w:color w:val="000000"/>
                <w:lang w:val="fr-FR"/>
              </w:rPr>
            </w:pPr>
            <w:r>
              <w:rPr>
                <w:color w:val="000000"/>
                <w:lang w:val="fr-FR"/>
              </w:rPr>
              <w:t>Pas de remarques.</w:t>
            </w:r>
          </w:p>
        </w:tc>
      </w:tr>
    </w:tbl>
    <w:p w14:paraId="27A6F722" w14:textId="77777777" w:rsidR="001203BA" w:rsidRPr="00326FAF" w:rsidRDefault="001203BA" w:rsidP="001203BA">
      <w:pPr>
        <w:rPr>
          <w:lang w:val="fr-FR"/>
        </w:rPr>
      </w:pPr>
    </w:p>
    <w:p w14:paraId="4B639224" w14:textId="77777777" w:rsidR="00A820D7" w:rsidRPr="00326FAF" w:rsidRDefault="00A820D7">
      <w:pPr>
        <w:rPr>
          <w:lang w:val="fr-FR"/>
        </w:rPr>
      </w:pPr>
    </w:p>
    <w:sectPr w:rsidR="00A820D7" w:rsidRPr="00326FA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305C5"/>
    <w:rsid w:val="00041525"/>
    <w:rsid w:val="00050A96"/>
    <w:rsid w:val="00081D9C"/>
    <w:rsid w:val="00096067"/>
    <w:rsid w:val="000B17B4"/>
    <w:rsid w:val="000C55F1"/>
    <w:rsid w:val="000E14C5"/>
    <w:rsid w:val="00102D66"/>
    <w:rsid w:val="00104701"/>
    <w:rsid w:val="0011776E"/>
    <w:rsid w:val="001203BA"/>
    <w:rsid w:val="00160A1B"/>
    <w:rsid w:val="00191BAC"/>
    <w:rsid w:val="00193578"/>
    <w:rsid w:val="00214A14"/>
    <w:rsid w:val="00214ADA"/>
    <w:rsid w:val="00222ED8"/>
    <w:rsid w:val="002337A0"/>
    <w:rsid w:val="00262FAA"/>
    <w:rsid w:val="0026584A"/>
    <w:rsid w:val="00274C37"/>
    <w:rsid w:val="0029665A"/>
    <w:rsid w:val="00297FF6"/>
    <w:rsid w:val="002A5831"/>
    <w:rsid w:val="002F7950"/>
    <w:rsid w:val="00300B84"/>
    <w:rsid w:val="00315433"/>
    <w:rsid w:val="00326FAF"/>
    <w:rsid w:val="00357D30"/>
    <w:rsid w:val="00367502"/>
    <w:rsid w:val="003831C0"/>
    <w:rsid w:val="003A1C6D"/>
    <w:rsid w:val="003A29A4"/>
    <w:rsid w:val="003A3D34"/>
    <w:rsid w:val="003A7991"/>
    <w:rsid w:val="003B5A5B"/>
    <w:rsid w:val="003E2816"/>
    <w:rsid w:val="003F24EE"/>
    <w:rsid w:val="00415C03"/>
    <w:rsid w:val="00423115"/>
    <w:rsid w:val="0047203B"/>
    <w:rsid w:val="004A39E3"/>
    <w:rsid w:val="004C3052"/>
    <w:rsid w:val="004C63AD"/>
    <w:rsid w:val="00525185"/>
    <w:rsid w:val="00545F5D"/>
    <w:rsid w:val="00562DB1"/>
    <w:rsid w:val="005A3C17"/>
    <w:rsid w:val="005A55D7"/>
    <w:rsid w:val="005B27F2"/>
    <w:rsid w:val="005C7CE3"/>
    <w:rsid w:val="00645D75"/>
    <w:rsid w:val="00672E28"/>
    <w:rsid w:val="00682856"/>
    <w:rsid w:val="006A735D"/>
    <w:rsid w:val="00710A28"/>
    <w:rsid w:val="00710C81"/>
    <w:rsid w:val="00736D86"/>
    <w:rsid w:val="007463B2"/>
    <w:rsid w:val="007532BF"/>
    <w:rsid w:val="007B581C"/>
    <w:rsid w:val="007D7A6B"/>
    <w:rsid w:val="00817848"/>
    <w:rsid w:val="00871F22"/>
    <w:rsid w:val="00887B0C"/>
    <w:rsid w:val="008B2189"/>
    <w:rsid w:val="008D71F7"/>
    <w:rsid w:val="008E164C"/>
    <w:rsid w:val="009172D4"/>
    <w:rsid w:val="00935E60"/>
    <w:rsid w:val="00943313"/>
    <w:rsid w:val="009626E3"/>
    <w:rsid w:val="009627E9"/>
    <w:rsid w:val="009B7FB9"/>
    <w:rsid w:val="009D0B3E"/>
    <w:rsid w:val="009F648C"/>
    <w:rsid w:val="009F7906"/>
    <w:rsid w:val="00A0074A"/>
    <w:rsid w:val="00A152BE"/>
    <w:rsid w:val="00A54951"/>
    <w:rsid w:val="00A72BBC"/>
    <w:rsid w:val="00A820D7"/>
    <w:rsid w:val="00AA0CC7"/>
    <w:rsid w:val="00AA1A7C"/>
    <w:rsid w:val="00AA5A92"/>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80883"/>
    <w:rsid w:val="00C86467"/>
    <w:rsid w:val="00C86CC5"/>
    <w:rsid w:val="00C91A38"/>
    <w:rsid w:val="00CC6422"/>
    <w:rsid w:val="00D359A8"/>
    <w:rsid w:val="00D66D82"/>
    <w:rsid w:val="00D96002"/>
    <w:rsid w:val="00DE6641"/>
    <w:rsid w:val="00E15CFE"/>
    <w:rsid w:val="00E21F8D"/>
    <w:rsid w:val="00E26DE4"/>
    <w:rsid w:val="00E511E0"/>
    <w:rsid w:val="00EB7DA5"/>
    <w:rsid w:val="00ED1A41"/>
    <w:rsid w:val="00ED31D7"/>
    <w:rsid w:val="00ED3B78"/>
    <w:rsid w:val="00F11CA2"/>
    <w:rsid w:val="00F234EA"/>
    <w:rsid w:val="00F301AA"/>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1C4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3916</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cp:revision>
  <dcterms:created xsi:type="dcterms:W3CDTF">2019-10-25T10:20:00Z</dcterms:created>
  <dcterms:modified xsi:type="dcterms:W3CDTF">2021-08-20T13:56:00Z</dcterms:modified>
</cp:coreProperties>
</file>