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37065F9F" w14:textId="77777777" w:rsidTr="00597CC3">
        <w:tc>
          <w:tcPr>
            <w:tcW w:w="2122" w:type="dxa"/>
          </w:tcPr>
          <w:p w14:paraId="3B564EAD" w14:textId="77777777" w:rsidR="001203BA" w:rsidRPr="00B07AC9" w:rsidRDefault="001203BA" w:rsidP="007D7A6B">
            <w:pPr>
              <w:rPr>
                <w:b/>
                <w:sz w:val="32"/>
                <w:szCs w:val="32"/>
                <w:lang w:val="nl-BE"/>
              </w:rPr>
            </w:pPr>
            <w:r w:rsidRPr="00B07AC9">
              <w:rPr>
                <w:b/>
                <w:sz w:val="32"/>
                <w:szCs w:val="32"/>
                <w:lang w:val="nl-BE"/>
              </w:rPr>
              <w:t xml:space="preserve">ARTIKEL </w:t>
            </w:r>
            <w:r w:rsidR="00DB7798">
              <w:rPr>
                <w:b/>
                <w:sz w:val="32"/>
                <w:szCs w:val="32"/>
                <w:lang w:val="nl-BE"/>
              </w:rPr>
              <w:t>5:22</w:t>
            </w:r>
          </w:p>
        </w:tc>
        <w:tc>
          <w:tcPr>
            <w:tcW w:w="11623" w:type="dxa"/>
            <w:gridSpan w:val="2"/>
            <w:shd w:val="clear" w:color="auto" w:fill="auto"/>
          </w:tcPr>
          <w:p w14:paraId="791508F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624B23C" w14:textId="77777777" w:rsidTr="00597CC3">
        <w:tc>
          <w:tcPr>
            <w:tcW w:w="2122" w:type="dxa"/>
          </w:tcPr>
          <w:p w14:paraId="0A8F39E5" w14:textId="77777777" w:rsidR="001203BA" w:rsidRPr="00B07AC9" w:rsidRDefault="001203BA" w:rsidP="007D7A6B">
            <w:pPr>
              <w:rPr>
                <w:b/>
                <w:sz w:val="32"/>
                <w:szCs w:val="32"/>
                <w:lang w:val="nl-BE"/>
              </w:rPr>
            </w:pPr>
          </w:p>
        </w:tc>
        <w:tc>
          <w:tcPr>
            <w:tcW w:w="11623" w:type="dxa"/>
            <w:gridSpan w:val="2"/>
            <w:shd w:val="clear" w:color="auto" w:fill="auto"/>
          </w:tcPr>
          <w:p w14:paraId="33ACC59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B60F3" w14:paraId="3A467294" w14:textId="77777777" w:rsidTr="003778B0">
        <w:trPr>
          <w:trHeight w:val="945"/>
        </w:trPr>
        <w:tc>
          <w:tcPr>
            <w:tcW w:w="2122" w:type="dxa"/>
          </w:tcPr>
          <w:p w14:paraId="48D657C0"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61F1442E" w14:textId="77777777" w:rsidR="00E34FF7" w:rsidRPr="00DB7798" w:rsidRDefault="00DB7798" w:rsidP="00C4686A">
            <w:pPr>
              <w:spacing w:after="0" w:line="240" w:lineRule="auto"/>
              <w:jc w:val="both"/>
              <w:rPr>
                <w:rFonts w:cs="Calibri"/>
                <w:lang w:val="nl-NL"/>
              </w:rPr>
            </w:pPr>
            <w:r w:rsidRPr="00E2243F">
              <w:rPr>
                <w:rFonts w:cs="Calibri"/>
                <w:lang w:val="nl-NL"/>
              </w:rPr>
              <w:t>In afwijking van de artikelen 5:20 en 5:21, en tenzij de statuten, een testament of een overeenkomst anders bepalen, oefent de vruchtgebruiker van effecten, alle aan die effecten verbonden rechten uit.</w:t>
            </w:r>
          </w:p>
        </w:tc>
        <w:tc>
          <w:tcPr>
            <w:tcW w:w="5953" w:type="dxa"/>
            <w:shd w:val="clear" w:color="auto" w:fill="auto"/>
          </w:tcPr>
          <w:p w14:paraId="7FD173F8" w14:textId="77777777" w:rsidR="00DB7798" w:rsidRPr="00E2243F" w:rsidRDefault="00DB7798" w:rsidP="00DB7798">
            <w:pPr>
              <w:spacing w:after="0" w:line="240" w:lineRule="auto"/>
              <w:jc w:val="both"/>
              <w:rPr>
                <w:rFonts w:cs="Calibri"/>
                <w:lang w:val="fr-FR"/>
              </w:rPr>
            </w:pPr>
            <w:r w:rsidRPr="00E2243F">
              <w:rPr>
                <w:rFonts w:cs="Calibri"/>
                <w:lang w:val="fr-FR"/>
              </w:rPr>
              <w:t xml:space="preserve">Par dérogation aux articles </w:t>
            </w:r>
            <w:proofErr w:type="gramStart"/>
            <w:r w:rsidRPr="00E2243F">
              <w:rPr>
                <w:rFonts w:cs="Calibri"/>
                <w:lang w:val="fr-FR"/>
              </w:rPr>
              <w:t>5:</w:t>
            </w:r>
            <w:proofErr w:type="gramEnd"/>
            <w:r w:rsidRPr="00E2243F">
              <w:rPr>
                <w:rFonts w:cs="Calibri"/>
                <w:lang w:val="fr-FR"/>
              </w:rPr>
              <w:t xml:space="preserve">20 et 5:21 et sauf disposition statutaire, testamentaire ou </w:t>
            </w:r>
            <w:proofErr w:type="spellStart"/>
            <w:r w:rsidRPr="00E2243F">
              <w:rPr>
                <w:rFonts w:cs="Calibri"/>
                <w:lang w:val="fr-FR"/>
              </w:rPr>
              <w:t>conventionelle</w:t>
            </w:r>
            <w:proofErr w:type="spellEnd"/>
            <w:r w:rsidRPr="00E2243F">
              <w:rPr>
                <w:rFonts w:cs="Calibri"/>
                <w:lang w:val="fr-FR"/>
              </w:rPr>
              <w:t xml:space="preserve"> contraire, l'usufruitier de titres exerce tous les droits attachés à ceux-ci.</w:t>
            </w:r>
          </w:p>
          <w:p w14:paraId="215AFA71" w14:textId="77777777" w:rsidR="00E34FF7" w:rsidRPr="00DB7798" w:rsidRDefault="00E34FF7" w:rsidP="00C4686A">
            <w:pPr>
              <w:spacing w:after="0" w:line="240" w:lineRule="auto"/>
              <w:jc w:val="both"/>
              <w:rPr>
                <w:rFonts w:cs="Calibri"/>
                <w:lang w:val="fr-FR"/>
              </w:rPr>
            </w:pPr>
          </w:p>
        </w:tc>
      </w:tr>
      <w:tr w:rsidR="002C51D7" w:rsidRPr="009B60F3" w14:paraId="5CC5E278" w14:textId="77777777" w:rsidTr="003778B0">
        <w:trPr>
          <w:trHeight w:val="945"/>
        </w:trPr>
        <w:tc>
          <w:tcPr>
            <w:tcW w:w="2122" w:type="dxa"/>
          </w:tcPr>
          <w:p w14:paraId="3BA67414" w14:textId="77777777" w:rsidR="002C51D7" w:rsidRDefault="002C51D7" w:rsidP="00887026">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7BBFF4B6" w14:textId="77777777" w:rsidR="002C51D7" w:rsidRPr="00D94232" w:rsidRDefault="002C51D7" w:rsidP="00887026">
            <w:pPr>
              <w:spacing w:after="0" w:line="240" w:lineRule="auto"/>
              <w:jc w:val="both"/>
              <w:rPr>
                <w:rFonts w:cs="Calibri"/>
                <w:lang w:val="nl-BE"/>
              </w:rPr>
            </w:pPr>
            <w:r>
              <w:rPr>
                <w:rFonts w:cs="Calibri"/>
                <w:lang w:val="nl-BE"/>
              </w:rPr>
              <w:t xml:space="preserve">Art. 5:22. </w:t>
            </w:r>
            <w:r w:rsidRPr="00D94232">
              <w:rPr>
                <w:rFonts w:cs="Calibri"/>
                <w:lang w:val="nl-BE"/>
              </w:rPr>
              <w:t>In afwijking van de artikelen 5:20 en 5:21, en tenzij de statuten, een testament of een overeenkomst anders bepalen, oefent de vruchtgebruiker van effecten, alle aan die effecten verbonden rechten uit.</w:t>
            </w:r>
          </w:p>
        </w:tc>
        <w:tc>
          <w:tcPr>
            <w:tcW w:w="5953" w:type="dxa"/>
            <w:shd w:val="clear" w:color="auto" w:fill="auto"/>
          </w:tcPr>
          <w:p w14:paraId="0E1BD4F8" w14:textId="77777777" w:rsidR="002C51D7" w:rsidRPr="00D94232" w:rsidRDefault="002C51D7" w:rsidP="00887026">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22. </w:t>
            </w:r>
            <w:r w:rsidRPr="00D94232">
              <w:rPr>
                <w:rFonts w:cs="Calibri"/>
                <w:lang w:val="fr-FR"/>
              </w:rPr>
              <w:t>Par dérogation aux articles 5:20 et 5:21 et sauf disposition statutaire, testamentaire ou conventionnelle contraire, l'usufruitier de titres exerce tous les droits attachés à ceux-ci.</w:t>
            </w:r>
          </w:p>
        </w:tc>
      </w:tr>
      <w:tr w:rsidR="002C51D7" w:rsidRPr="00F816C2" w14:paraId="766D4D51" w14:textId="77777777" w:rsidTr="003778B0">
        <w:trPr>
          <w:trHeight w:val="439"/>
        </w:trPr>
        <w:tc>
          <w:tcPr>
            <w:tcW w:w="2122" w:type="dxa"/>
          </w:tcPr>
          <w:p w14:paraId="2E8DEE29" w14:textId="77777777" w:rsidR="002C51D7" w:rsidRPr="00F816C2" w:rsidRDefault="002C51D7" w:rsidP="00E34FF7">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15F66933" w14:textId="77777777" w:rsidR="002C51D7" w:rsidRPr="00F816C2" w:rsidRDefault="002C51D7" w:rsidP="00DB7798">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292E75E3" w14:textId="77777777" w:rsidR="002C51D7" w:rsidRPr="00E2243F" w:rsidRDefault="002C51D7" w:rsidP="00DB7798">
            <w:pPr>
              <w:spacing w:after="0" w:line="240" w:lineRule="auto"/>
              <w:jc w:val="both"/>
              <w:rPr>
                <w:rFonts w:cs="Calibri"/>
                <w:lang w:val="fr-FR"/>
              </w:rPr>
            </w:pPr>
            <w:r>
              <w:rPr>
                <w:rFonts w:cs="Calibri"/>
                <w:lang w:val="fr-FR"/>
              </w:rPr>
              <w:t>Pas d’article.</w:t>
            </w:r>
          </w:p>
        </w:tc>
      </w:tr>
      <w:tr w:rsidR="002C51D7" w:rsidRPr="009B60F3" w14:paraId="11CA6CC9" w14:textId="77777777" w:rsidTr="003778B0">
        <w:trPr>
          <w:trHeight w:val="945"/>
        </w:trPr>
        <w:tc>
          <w:tcPr>
            <w:tcW w:w="2122" w:type="dxa"/>
          </w:tcPr>
          <w:p w14:paraId="5A3C240B" w14:textId="77777777" w:rsidR="002C51D7" w:rsidRDefault="002C51D7" w:rsidP="00E34FF7">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03FB182" w14:textId="77777777" w:rsidR="002C51D7" w:rsidRPr="003778B0" w:rsidRDefault="002C51D7" w:rsidP="003778B0">
            <w:pPr>
              <w:spacing w:after="0" w:line="240" w:lineRule="auto"/>
              <w:jc w:val="both"/>
              <w:rPr>
                <w:rFonts w:cs="Calibri"/>
                <w:lang w:val="nl-BE"/>
              </w:rPr>
            </w:pPr>
            <w:r w:rsidRPr="003778B0">
              <w:rPr>
                <w:rFonts w:cs="Calibri"/>
                <w:lang w:val="nl-BE"/>
              </w:rPr>
              <w:t xml:space="preserve">Het artikel in ontwerp regelt een controverse in de huidige rechtsleer en rechtspraak door aan de vruchtgebruiker het stemrecht op aandelen toe te kennen, zonder onderscheid naargelang van het voorwerp van de stemming.  Het gaat evenwel om een suppletieve regel waarvan in de statuten, een overeenkomst of een testament kan worden afgeweken. </w:t>
            </w:r>
          </w:p>
          <w:p w14:paraId="36899734" w14:textId="77777777" w:rsidR="002C51D7" w:rsidRPr="003778B0" w:rsidRDefault="002C51D7" w:rsidP="003778B0">
            <w:pPr>
              <w:spacing w:after="0" w:line="240" w:lineRule="auto"/>
              <w:jc w:val="both"/>
              <w:rPr>
                <w:rFonts w:cs="Calibri"/>
                <w:lang w:val="nl-BE"/>
              </w:rPr>
            </w:pPr>
          </w:p>
          <w:p w14:paraId="577A6A99" w14:textId="77777777" w:rsidR="002C51D7" w:rsidRPr="003778B0" w:rsidRDefault="002C51D7" w:rsidP="003778B0">
            <w:pPr>
              <w:spacing w:after="0" w:line="240" w:lineRule="auto"/>
              <w:jc w:val="both"/>
              <w:rPr>
                <w:rFonts w:cs="Calibri"/>
                <w:lang w:val="nl-BE"/>
              </w:rPr>
            </w:pPr>
            <w:r w:rsidRPr="003778B0">
              <w:rPr>
                <w:rFonts w:cs="Calibri"/>
                <w:lang w:val="nl-BE"/>
              </w:rPr>
              <w:t>Deze bepaling is geïnspireerd op artikel 237, tweede lid, W. venn., maar veralgemeent die bepaling, die enkel toepasselijk was in het geval van overlijden van de enige vennoot van een éénhoofdige BVBA.</w:t>
            </w:r>
          </w:p>
          <w:p w14:paraId="0E585F14" w14:textId="77777777" w:rsidR="002C51D7" w:rsidRPr="003778B0" w:rsidRDefault="002C51D7" w:rsidP="003778B0">
            <w:pPr>
              <w:spacing w:after="0" w:line="240" w:lineRule="auto"/>
              <w:jc w:val="both"/>
              <w:rPr>
                <w:rFonts w:cs="Calibri"/>
                <w:lang w:val="nl-BE"/>
              </w:rPr>
            </w:pPr>
          </w:p>
          <w:p w14:paraId="6F444087" w14:textId="77777777" w:rsidR="002C51D7" w:rsidRPr="00D94232" w:rsidRDefault="002C51D7" w:rsidP="00DB7798">
            <w:pPr>
              <w:spacing w:after="0" w:line="240" w:lineRule="auto"/>
              <w:jc w:val="both"/>
              <w:rPr>
                <w:rFonts w:cs="Calibri"/>
                <w:lang w:val="nl-BE"/>
              </w:rPr>
            </w:pPr>
            <w:r w:rsidRPr="003778B0">
              <w:rPr>
                <w:rFonts w:cs="Calibri"/>
                <w:lang w:val="nl-BE"/>
              </w:rPr>
              <w:t xml:space="preserve">De nieuwe regeling is van toepassing voor het geval een vruchtgebruik rust op effecten, ongeacht de oorsprong van dit vruchtgebruik (conventionele vestiging, uit kracht van wet tengevolge van overlijden, …) en ongeacht of men te maken heeft met een vennootschap met één dan wel meerdere aandeelhouders. In de praktijk stelt men vast dat de betrokkenen vaak nalieten te regelen of de vruchtgebruiker dan wel de blote eigenaar bepaalde  rechten verbonden aan </w:t>
            </w:r>
            <w:r w:rsidRPr="003778B0">
              <w:rPr>
                <w:rFonts w:cs="Calibri"/>
                <w:lang w:val="nl-BE"/>
              </w:rPr>
              <w:lastRenderedPageBreak/>
              <w:t>de effecten mag uitoefenen. De bepaling in ontwerp bevat een duidelijke suppletiefrechtelijke regeling, die de uitoefening van alle rechten aan de vruchtgebruiker voorbehoudt.</w:t>
            </w:r>
          </w:p>
        </w:tc>
        <w:tc>
          <w:tcPr>
            <w:tcW w:w="5953" w:type="dxa"/>
            <w:shd w:val="clear" w:color="auto" w:fill="auto"/>
          </w:tcPr>
          <w:p w14:paraId="286C7913" w14:textId="625D190A" w:rsidR="002C51D7" w:rsidRPr="003778B0" w:rsidRDefault="00563A86" w:rsidP="003778B0">
            <w:pPr>
              <w:spacing w:after="0" w:line="240" w:lineRule="auto"/>
              <w:jc w:val="both"/>
              <w:rPr>
                <w:rFonts w:cs="Calibri"/>
                <w:lang w:val="fr-FR"/>
              </w:rPr>
            </w:pPr>
            <w:r>
              <w:rPr>
                <w:rFonts w:cs="Calibri"/>
                <w:lang w:val="fr-FR"/>
              </w:rPr>
              <w:lastRenderedPageBreak/>
              <w:t>L'</w:t>
            </w:r>
            <w:r w:rsidR="002C51D7" w:rsidRPr="003778B0">
              <w:rPr>
                <w:rFonts w:cs="Calibri"/>
                <w:lang w:val="fr-FR"/>
              </w:rPr>
              <w:t>article en projet tranche une controverse dans la doctrine et la jurispru</w:t>
            </w:r>
            <w:r>
              <w:rPr>
                <w:rFonts w:cs="Calibri"/>
                <w:lang w:val="fr-FR"/>
              </w:rPr>
              <w:t>dence actuelle en conférant à l'</w:t>
            </w:r>
            <w:r w:rsidR="002C51D7" w:rsidRPr="003778B0">
              <w:rPr>
                <w:rFonts w:cs="Calibri"/>
                <w:lang w:val="fr-FR"/>
              </w:rPr>
              <w:t>usufruitier le droit de vote, sa</w:t>
            </w:r>
            <w:r>
              <w:rPr>
                <w:rFonts w:cs="Calibri"/>
                <w:lang w:val="fr-FR"/>
              </w:rPr>
              <w:t>ns faire de distinction selon l'objet du vote. Il s'agit cependant d'</w:t>
            </w:r>
            <w:r w:rsidR="002C51D7" w:rsidRPr="003778B0">
              <w:rPr>
                <w:rFonts w:cs="Calibri"/>
                <w:lang w:val="fr-FR"/>
              </w:rPr>
              <w:t xml:space="preserve">une règle supplétive à laquelle il peut être dérogé dans les statuts, </w:t>
            </w:r>
            <w:r w:rsidR="002C51D7">
              <w:rPr>
                <w:rFonts w:cs="Calibri"/>
                <w:lang w:val="fr-FR"/>
              </w:rPr>
              <w:t>une convention ou un testament.</w:t>
            </w:r>
          </w:p>
          <w:p w14:paraId="646D9575" w14:textId="77777777" w:rsidR="002C51D7" w:rsidRPr="003778B0" w:rsidRDefault="002C51D7" w:rsidP="003778B0">
            <w:pPr>
              <w:spacing w:after="0" w:line="240" w:lineRule="auto"/>
              <w:jc w:val="both"/>
              <w:rPr>
                <w:rFonts w:cs="Calibri"/>
                <w:lang w:val="fr-FR"/>
              </w:rPr>
            </w:pPr>
          </w:p>
          <w:p w14:paraId="5B0B9540" w14:textId="33E91007" w:rsidR="002C51D7" w:rsidRPr="003778B0" w:rsidRDefault="00563A86" w:rsidP="003778B0">
            <w:pPr>
              <w:spacing w:after="0" w:line="240" w:lineRule="auto"/>
              <w:jc w:val="both"/>
              <w:rPr>
                <w:rFonts w:cs="Calibri"/>
                <w:lang w:val="fr-FR"/>
              </w:rPr>
            </w:pPr>
            <w:r>
              <w:rPr>
                <w:rFonts w:cs="Calibri"/>
                <w:lang w:val="fr-FR"/>
              </w:rPr>
              <w:t>Cette disposition s'inspire de l'</w:t>
            </w:r>
            <w:r w:rsidR="002C51D7" w:rsidRPr="003778B0">
              <w:rPr>
                <w:rFonts w:cs="Calibri"/>
                <w:lang w:val="fr-FR"/>
              </w:rPr>
              <w:t xml:space="preserve">article 237, alinéa 2 </w:t>
            </w:r>
            <w:proofErr w:type="spellStart"/>
            <w:proofErr w:type="gramStart"/>
            <w:r w:rsidR="002C51D7" w:rsidRPr="003778B0">
              <w:rPr>
                <w:rFonts w:cs="Calibri"/>
                <w:lang w:val="fr-FR"/>
              </w:rPr>
              <w:t>C.Soc</w:t>
            </w:r>
            <w:proofErr w:type="spellEnd"/>
            <w:proofErr w:type="gramEnd"/>
            <w:r w:rsidR="002C51D7" w:rsidRPr="003778B0">
              <w:rPr>
                <w:rFonts w:cs="Calibri"/>
                <w:lang w:val="fr-FR"/>
              </w:rPr>
              <w:t xml:space="preserve">. </w:t>
            </w:r>
            <w:proofErr w:type="gramStart"/>
            <w:r w:rsidR="002C51D7" w:rsidRPr="003778B0">
              <w:rPr>
                <w:rFonts w:cs="Calibri"/>
                <w:lang w:val="fr-FR"/>
              </w:rPr>
              <w:t>mais</w:t>
            </w:r>
            <w:proofErr w:type="gramEnd"/>
            <w:r w:rsidR="002C51D7" w:rsidRPr="003778B0">
              <w:rPr>
                <w:rFonts w:cs="Calibri"/>
                <w:lang w:val="fr-FR"/>
              </w:rPr>
              <w:t xml:space="preserve"> rend générale son application, qui éta</w:t>
            </w:r>
            <w:r>
              <w:rPr>
                <w:rFonts w:cs="Calibri"/>
                <w:lang w:val="fr-FR"/>
              </w:rPr>
              <w:t>it limitée au cas du décès de l'</w:t>
            </w:r>
            <w:r w:rsidR="002C51D7" w:rsidRPr="003778B0">
              <w:rPr>
                <w:rFonts w:cs="Calibri"/>
                <w:lang w:val="fr-FR"/>
              </w:rPr>
              <w:t>actionnaire un</w:t>
            </w:r>
            <w:r>
              <w:rPr>
                <w:rFonts w:cs="Calibri"/>
                <w:lang w:val="fr-FR"/>
              </w:rPr>
              <w:t>ique d'</w:t>
            </w:r>
            <w:r w:rsidR="002C51D7">
              <w:rPr>
                <w:rFonts w:cs="Calibri"/>
                <w:lang w:val="fr-FR"/>
              </w:rPr>
              <w:t>une SPRL unipersonnelle.</w:t>
            </w:r>
          </w:p>
          <w:p w14:paraId="666999BB" w14:textId="77777777" w:rsidR="002C51D7" w:rsidRPr="003778B0" w:rsidRDefault="002C51D7" w:rsidP="003778B0">
            <w:pPr>
              <w:spacing w:after="0" w:line="240" w:lineRule="auto"/>
              <w:jc w:val="both"/>
              <w:rPr>
                <w:rFonts w:cs="Calibri"/>
                <w:lang w:val="fr-FR"/>
              </w:rPr>
            </w:pPr>
          </w:p>
          <w:p w14:paraId="7C3B80D5" w14:textId="2D963E43" w:rsidR="002C51D7" w:rsidRPr="003778B0" w:rsidRDefault="00563A86" w:rsidP="003778B0">
            <w:pPr>
              <w:spacing w:after="0" w:line="240" w:lineRule="auto"/>
              <w:jc w:val="both"/>
              <w:rPr>
                <w:rFonts w:cs="Calibri"/>
                <w:lang w:val="fr-FR"/>
              </w:rPr>
            </w:pPr>
            <w:r>
              <w:rPr>
                <w:rFonts w:cs="Calibri"/>
                <w:lang w:val="fr-FR"/>
              </w:rPr>
              <w:t>La nouvelle règle s'</w:t>
            </w:r>
            <w:r w:rsidR="002C51D7" w:rsidRPr="003778B0">
              <w:rPr>
                <w:rFonts w:cs="Calibri"/>
                <w:lang w:val="fr-FR"/>
              </w:rPr>
              <w:t>appli</w:t>
            </w:r>
            <w:r>
              <w:rPr>
                <w:rFonts w:cs="Calibri"/>
                <w:lang w:val="fr-FR"/>
              </w:rPr>
              <w:t>que au cas où les titres font l'objet d'un usufruit quel qu'en soit l'</w:t>
            </w:r>
            <w:r w:rsidR="002C51D7" w:rsidRPr="003778B0">
              <w:rPr>
                <w:rFonts w:cs="Calibri"/>
                <w:lang w:val="fr-FR"/>
              </w:rPr>
              <w:t>origine (conve</w:t>
            </w:r>
            <w:r>
              <w:rPr>
                <w:rFonts w:cs="Calibri"/>
                <w:lang w:val="fr-FR"/>
              </w:rPr>
              <w:t>ntionnelle, légale à la suite d'</w:t>
            </w:r>
            <w:r w:rsidR="002C51D7" w:rsidRPr="003778B0">
              <w:rPr>
                <w:rFonts w:cs="Calibri"/>
                <w:lang w:val="fr-FR"/>
              </w:rPr>
              <w:t>un décès) et que la société soit unipersonnelle ou non. On constate que dans la pratique les intéressés négligeaient souvent de d</w:t>
            </w:r>
            <w:r>
              <w:rPr>
                <w:rFonts w:cs="Calibri"/>
                <w:lang w:val="fr-FR"/>
              </w:rPr>
              <w:t>éterminer quels droits liés à l'</w:t>
            </w:r>
            <w:r w:rsidR="002C51D7" w:rsidRPr="003778B0">
              <w:rPr>
                <w:rFonts w:cs="Calibri"/>
                <w:lang w:val="fr-FR"/>
              </w:rPr>
              <w:t>act</w:t>
            </w:r>
            <w:r>
              <w:rPr>
                <w:rFonts w:cs="Calibri"/>
                <w:lang w:val="fr-FR"/>
              </w:rPr>
              <w:t>ion devaient être exercés par l'</w:t>
            </w:r>
            <w:r w:rsidR="002C51D7" w:rsidRPr="003778B0">
              <w:rPr>
                <w:rFonts w:cs="Calibri"/>
                <w:lang w:val="fr-FR"/>
              </w:rPr>
              <w:t xml:space="preserve">usufruitier, respectivement le nu-propriétaire. La </w:t>
            </w:r>
            <w:proofErr w:type="spellStart"/>
            <w:r w:rsidR="002C51D7" w:rsidRPr="003778B0">
              <w:rPr>
                <w:rFonts w:cs="Calibri"/>
                <w:lang w:val="fr-FR"/>
              </w:rPr>
              <w:t>dispostion</w:t>
            </w:r>
            <w:proofErr w:type="spellEnd"/>
            <w:r w:rsidR="002C51D7" w:rsidRPr="003778B0">
              <w:rPr>
                <w:rFonts w:cs="Calibri"/>
                <w:lang w:val="fr-FR"/>
              </w:rPr>
              <w:t xml:space="preserve"> en projet comporte une règle sup</w:t>
            </w:r>
            <w:r>
              <w:rPr>
                <w:rFonts w:cs="Calibri"/>
                <w:lang w:val="fr-FR"/>
              </w:rPr>
              <w:t>plétive claire, qui réserve à l'usufruitier l'</w:t>
            </w:r>
            <w:r w:rsidR="002C51D7" w:rsidRPr="003778B0">
              <w:rPr>
                <w:rFonts w:cs="Calibri"/>
                <w:lang w:val="fr-FR"/>
              </w:rPr>
              <w:t xml:space="preserve">exercice de tous les droits liés à </w:t>
            </w:r>
            <w:r>
              <w:rPr>
                <w:rFonts w:cs="Calibri"/>
                <w:lang w:val="fr-FR"/>
              </w:rPr>
              <w:t>l'</w:t>
            </w:r>
            <w:bookmarkStart w:id="0" w:name="_GoBack"/>
            <w:bookmarkEnd w:id="0"/>
            <w:r w:rsidR="002C51D7" w:rsidRPr="003778B0">
              <w:rPr>
                <w:rFonts w:cs="Calibri"/>
                <w:lang w:val="fr-FR"/>
              </w:rPr>
              <w:t>action.</w:t>
            </w:r>
          </w:p>
        </w:tc>
      </w:tr>
      <w:tr w:rsidR="002C51D7" w:rsidRPr="009B60F3" w14:paraId="2E8B3865" w14:textId="77777777" w:rsidTr="003778B0">
        <w:trPr>
          <w:trHeight w:val="945"/>
        </w:trPr>
        <w:tc>
          <w:tcPr>
            <w:tcW w:w="2122" w:type="dxa"/>
          </w:tcPr>
          <w:p w14:paraId="1DBC02CF" w14:textId="77777777" w:rsidR="002C51D7" w:rsidRDefault="002C51D7"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50C483FC" w14:textId="77777777" w:rsidR="002C51D7" w:rsidRPr="003778B0" w:rsidRDefault="002C51D7" w:rsidP="003778B0">
            <w:pPr>
              <w:spacing w:after="0" w:line="240" w:lineRule="auto"/>
              <w:jc w:val="both"/>
              <w:rPr>
                <w:rFonts w:cs="Calibri"/>
                <w:lang w:val="nl-BE"/>
              </w:rPr>
            </w:pPr>
            <w:r w:rsidRPr="003778B0">
              <w:rPr>
                <w:rFonts w:cs="Calibri"/>
                <w:lang w:val="nl-BE"/>
              </w:rPr>
              <w:t>De bepalingen van het ontworpen artikel 5:24 worden beperkt tot het geval waarin de enige aandeelhouder overlijdt, terwijl dezelfde regeling geldt of zou kunnen gelden voor het overlijden van een aandeelhouder van een BV die meerdere aandeelhouders telt. Het is trouwens niet duidelijk hoe de situatie van een enige aandeelhouder op dat punt bijzonderheden zou vertonen. De tekst zou moeten worden weggelaten of worden uitgebreid tot alle overlijdens van aandeelhouders.</w:t>
            </w:r>
          </w:p>
          <w:p w14:paraId="1E082AA6" w14:textId="77777777" w:rsidR="002C51D7" w:rsidRPr="003778B0" w:rsidRDefault="002C51D7" w:rsidP="003778B0">
            <w:pPr>
              <w:spacing w:after="0" w:line="240" w:lineRule="auto"/>
              <w:jc w:val="both"/>
              <w:rPr>
                <w:rFonts w:cs="Calibri"/>
                <w:lang w:val="nl-BE"/>
              </w:rPr>
            </w:pPr>
          </w:p>
          <w:p w14:paraId="3A58DC73" w14:textId="77777777" w:rsidR="002C51D7" w:rsidRPr="003778B0" w:rsidRDefault="002C51D7" w:rsidP="003778B0">
            <w:pPr>
              <w:spacing w:after="0" w:line="240" w:lineRule="auto"/>
              <w:jc w:val="both"/>
              <w:rPr>
                <w:rFonts w:cs="Calibri"/>
                <w:lang w:val="nl-BE"/>
              </w:rPr>
            </w:pPr>
            <w:r w:rsidRPr="003778B0">
              <w:rPr>
                <w:rFonts w:cs="Calibri"/>
                <w:lang w:val="nl-BE"/>
              </w:rPr>
              <w:t>Voorts lijkt geen enkele soortgelijke bepaling te bestaan voor de NV, hoewel deze ook een eenpersoonsvennootschap kan zijn.</w:t>
            </w:r>
          </w:p>
          <w:p w14:paraId="7E0DFFD1" w14:textId="77777777" w:rsidR="002C51D7" w:rsidRPr="003778B0" w:rsidRDefault="002C51D7" w:rsidP="003778B0">
            <w:pPr>
              <w:spacing w:after="0" w:line="240" w:lineRule="auto"/>
              <w:jc w:val="both"/>
              <w:rPr>
                <w:rFonts w:cs="Calibri"/>
                <w:lang w:val="nl-BE"/>
              </w:rPr>
            </w:pPr>
          </w:p>
          <w:p w14:paraId="7A1BDF2C" w14:textId="77777777" w:rsidR="002C51D7" w:rsidRPr="003778B0" w:rsidRDefault="002C51D7" w:rsidP="003778B0">
            <w:pPr>
              <w:spacing w:after="0" w:line="240" w:lineRule="auto"/>
              <w:jc w:val="both"/>
              <w:rPr>
                <w:rFonts w:cs="Calibri"/>
                <w:lang w:val="nl-BE"/>
              </w:rPr>
            </w:pPr>
            <w:r w:rsidRPr="003778B0">
              <w:rPr>
                <w:rFonts w:cs="Calibri"/>
                <w:lang w:val="nl-BE"/>
              </w:rPr>
              <w:t>In dat verband wordt verwezen naar de opmerking die bij het ontworpen artikel 7:22 geformuleerd wordt.</w:t>
            </w:r>
          </w:p>
        </w:tc>
        <w:tc>
          <w:tcPr>
            <w:tcW w:w="5953" w:type="dxa"/>
            <w:shd w:val="clear" w:color="auto" w:fill="auto"/>
          </w:tcPr>
          <w:p w14:paraId="1A4D8AB5" w14:textId="77777777" w:rsidR="002C51D7" w:rsidRPr="003778B0" w:rsidRDefault="002C51D7" w:rsidP="003778B0">
            <w:pPr>
              <w:spacing w:after="0" w:line="240" w:lineRule="auto"/>
              <w:jc w:val="both"/>
              <w:rPr>
                <w:rFonts w:cs="Calibri"/>
                <w:lang w:val="fr-FR"/>
              </w:rPr>
            </w:pPr>
            <w:r w:rsidRPr="003778B0">
              <w:rPr>
                <w:rFonts w:cs="Calibri"/>
                <w:lang w:val="fr-FR"/>
              </w:rPr>
              <w:t xml:space="preserve">Les dispositions de l’article </w:t>
            </w:r>
            <w:proofErr w:type="gramStart"/>
            <w:r w:rsidRPr="003778B0">
              <w:rPr>
                <w:rFonts w:cs="Calibri"/>
                <w:lang w:val="fr-FR"/>
              </w:rPr>
              <w:t>5:</w:t>
            </w:r>
            <w:proofErr w:type="gramEnd"/>
            <w:r w:rsidRPr="003778B0">
              <w:rPr>
                <w:rFonts w:cs="Calibri"/>
                <w:lang w:val="fr-FR"/>
              </w:rPr>
              <w:t>24 en projet sont limitées au cas du décès de l’actionnaire unique, alors que les mêmes règles valent, ou pourraient valoir, pour le décès d’un actionnaire d’une SRL comptant plusieurs actionnaires. On ne comprend d’ailleurs pas en quoi, sur ce point, la situation d’un actionnaire unique présenterait des particularités. Le texte devrait être omis ou étendu à tous les décès d’actionnaires.</w:t>
            </w:r>
          </w:p>
          <w:p w14:paraId="2BCEEEA3" w14:textId="77777777" w:rsidR="002C51D7" w:rsidRPr="003778B0" w:rsidRDefault="002C51D7" w:rsidP="003778B0">
            <w:pPr>
              <w:spacing w:after="0" w:line="240" w:lineRule="auto"/>
              <w:jc w:val="both"/>
              <w:rPr>
                <w:rFonts w:cs="Calibri"/>
                <w:lang w:val="fr-FR"/>
              </w:rPr>
            </w:pPr>
          </w:p>
          <w:p w14:paraId="3CA5B57D" w14:textId="77777777" w:rsidR="002C51D7" w:rsidRPr="003778B0" w:rsidRDefault="002C51D7" w:rsidP="003778B0">
            <w:pPr>
              <w:spacing w:after="0" w:line="240" w:lineRule="auto"/>
              <w:jc w:val="both"/>
              <w:rPr>
                <w:rFonts w:cs="Calibri"/>
                <w:lang w:val="fr-FR"/>
              </w:rPr>
            </w:pPr>
            <w:r w:rsidRPr="003778B0">
              <w:rPr>
                <w:rFonts w:cs="Calibri"/>
                <w:lang w:val="fr-FR"/>
              </w:rPr>
              <w:t>Par ailleurs, aucune disposition similaire ne semble exis</w:t>
            </w:r>
            <w:r>
              <w:rPr>
                <w:rFonts w:cs="Calibri"/>
                <w:lang w:val="fr-FR"/>
              </w:rPr>
              <w:t>ter pour la SA, alors que celle-</w:t>
            </w:r>
            <w:r w:rsidRPr="003778B0">
              <w:rPr>
                <w:rFonts w:cs="Calibri"/>
                <w:lang w:val="fr-FR"/>
              </w:rPr>
              <w:t>ci pourra aussi être unipersonnelle.</w:t>
            </w:r>
          </w:p>
          <w:p w14:paraId="3C3040D2" w14:textId="77777777" w:rsidR="002C51D7" w:rsidRPr="003778B0" w:rsidRDefault="002C51D7" w:rsidP="003778B0">
            <w:pPr>
              <w:spacing w:after="0" w:line="240" w:lineRule="auto"/>
              <w:jc w:val="both"/>
              <w:rPr>
                <w:rFonts w:cs="Calibri"/>
                <w:lang w:val="fr-FR"/>
              </w:rPr>
            </w:pPr>
          </w:p>
          <w:p w14:paraId="22338BE9" w14:textId="77777777" w:rsidR="002C51D7" w:rsidRPr="003778B0" w:rsidRDefault="002C51D7" w:rsidP="003778B0">
            <w:pPr>
              <w:spacing w:after="0" w:line="240" w:lineRule="auto"/>
              <w:jc w:val="both"/>
              <w:rPr>
                <w:rFonts w:cs="Calibri"/>
                <w:lang w:val="fr-FR"/>
              </w:rPr>
            </w:pPr>
            <w:r w:rsidRPr="003778B0">
              <w:rPr>
                <w:rFonts w:cs="Calibri"/>
                <w:lang w:val="fr-FR"/>
              </w:rPr>
              <w:t xml:space="preserve">Il est renvoyé sur ce point à l’observation formulée sous l’article </w:t>
            </w:r>
            <w:proofErr w:type="gramStart"/>
            <w:r w:rsidRPr="003778B0">
              <w:rPr>
                <w:rFonts w:cs="Calibri"/>
                <w:lang w:val="fr-FR"/>
              </w:rPr>
              <w:t>7:</w:t>
            </w:r>
            <w:proofErr w:type="gramEnd"/>
            <w:r w:rsidRPr="003778B0">
              <w:rPr>
                <w:rFonts w:cs="Calibri"/>
                <w:lang w:val="fr-FR"/>
              </w:rPr>
              <w:t>22 en projet.</w:t>
            </w:r>
          </w:p>
        </w:tc>
      </w:tr>
    </w:tbl>
    <w:p w14:paraId="2DFF50DC" w14:textId="77777777" w:rsidR="001203BA" w:rsidRPr="003778B0" w:rsidRDefault="001203BA" w:rsidP="001203BA">
      <w:pPr>
        <w:rPr>
          <w:lang w:val="fr-FR"/>
        </w:rPr>
      </w:pPr>
    </w:p>
    <w:p w14:paraId="36CDDD6A" w14:textId="77777777" w:rsidR="00A820D7" w:rsidRPr="003778B0" w:rsidRDefault="00A820D7">
      <w:pPr>
        <w:rPr>
          <w:lang w:val="fr-FR"/>
        </w:rPr>
      </w:pPr>
    </w:p>
    <w:sectPr w:rsidR="00A820D7" w:rsidRPr="003778B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C51D7"/>
    <w:rsid w:val="002D2CD0"/>
    <w:rsid w:val="002F7950"/>
    <w:rsid w:val="00300B84"/>
    <w:rsid w:val="00306A19"/>
    <w:rsid w:val="00307218"/>
    <w:rsid w:val="00315433"/>
    <w:rsid w:val="00321B4D"/>
    <w:rsid w:val="003342CF"/>
    <w:rsid w:val="00357D30"/>
    <w:rsid w:val="00367502"/>
    <w:rsid w:val="003778B0"/>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63A86"/>
    <w:rsid w:val="00566D56"/>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60F3"/>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423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816C2"/>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F2D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3735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32</cp:revision>
  <dcterms:created xsi:type="dcterms:W3CDTF">2019-10-26T21:04:00Z</dcterms:created>
  <dcterms:modified xsi:type="dcterms:W3CDTF">2021-08-26T15:11:00Z</dcterms:modified>
</cp:coreProperties>
</file>