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B270423" w14:textId="77777777" w:rsidTr="00597CC3">
        <w:tc>
          <w:tcPr>
            <w:tcW w:w="2122" w:type="dxa"/>
          </w:tcPr>
          <w:p w14:paraId="3473C083" w14:textId="77777777" w:rsidR="001203BA" w:rsidRPr="00B07AC9" w:rsidRDefault="001203BA" w:rsidP="007D7A6B">
            <w:pPr>
              <w:rPr>
                <w:b/>
                <w:sz w:val="32"/>
                <w:szCs w:val="32"/>
                <w:lang w:val="nl-BE"/>
              </w:rPr>
            </w:pPr>
            <w:r w:rsidRPr="00B07AC9">
              <w:rPr>
                <w:b/>
                <w:sz w:val="32"/>
                <w:szCs w:val="32"/>
                <w:lang w:val="nl-BE"/>
              </w:rPr>
              <w:t xml:space="preserve">ARTIKEL </w:t>
            </w:r>
            <w:r w:rsidR="003604AA">
              <w:rPr>
                <w:b/>
                <w:sz w:val="32"/>
                <w:szCs w:val="32"/>
                <w:lang w:val="nl-BE"/>
              </w:rPr>
              <w:t>5:26</w:t>
            </w:r>
          </w:p>
        </w:tc>
        <w:tc>
          <w:tcPr>
            <w:tcW w:w="11623" w:type="dxa"/>
            <w:gridSpan w:val="2"/>
            <w:shd w:val="clear" w:color="auto" w:fill="auto"/>
          </w:tcPr>
          <w:p w14:paraId="57AD371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BFA4A19" w14:textId="77777777" w:rsidTr="00597CC3">
        <w:tc>
          <w:tcPr>
            <w:tcW w:w="2122" w:type="dxa"/>
          </w:tcPr>
          <w:p w14:paraId="12D66E96" w14:textId="77777777" w:rsidR="001203BA" w:rsidRPr="00B07AC9" w:rsidRDefault="001203BA" w:rsidP="007D7A6B">
            <w:pPr>
              <w:rPr>
                <w:b/>
                <w:sz w:val="32"/>
                <w:szCs w:val="32"/>
                <w:lang w:val="nl-BE"/>
              </w:rPr>
            </w:pPr>
          </w:p>
        </w:tc>
        <w:tc>
          <w:tcPr>
            <w:tcW w:w="11623" w:type="dxa"/>
            <w:gridSpan w:val="2"/>
            <w:shd w:val="clear" w:color="auto" w:fill="auto"/>
          </w:tcPr>
          <w:p w14:paraId="475D28F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C0505B" w14:paraId="576B55D0" w14:textId="77777777" w:rsidTr="00046FF8">
        <w:trPr>
          <w:trHeight w:val="945"/>
        </w:trPr>
        <w:tc>
          <w:tcPr>
            <w:tcW w:w="2122" w:type="dxa"/>
          </w:tcPr>
          <w:p w14:paraId="2BF99945"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2179AD08" w14:textId="77777777" w:rsidR="00E34FF7" w:rsidRPr="00563C64" w:rsidRDefault="003604AA" w:rsidP="00C4686A">
            <w:pPr>
              <w:spacing w:after="0" w:line="240" w:lineRule="auto"/>
              <w:jc w:val="both"/>
              <w:rPr>
                <w:rFonts w:cs="Calibri"/>
                <w:lang w:val="nl-BE"/>
              </w:rPr>
            </w:pPr>
            <w:r w:rsidRPr="00254C33">
              <w:rPr>
                <w:rFonts w:cs="Calibri"/>
                <w:lang w:val="nl-BE"/>
              </w:rPr>
              <w:t>De vennootschap houdt op haar zetel een register voor elke categorie van effecten op naam die toegang geven tot aandelen. Artikel 5:25, met uitzondering van het eerste lid, 4° en 7°, is van overeenkomstige toepassing.</w:t>
            </w:r>
          </w:p>
        </w:tc>
        <w:tc>
          <w:tcPr>
            <w:tcW w:w="5812" w:type="dxa"/>
            <w:shd w:val="clear" w:color="auto" w:fill="auto"/>
          </w:tcPr>
          <w:p w14:paraId="53EFD1E3" w14:textId="3A7F2D59" w:rsidR="003604AA" w:rsidRPr="00254C33" w:rsidRDefault="003604AA" w:rsidP="003604AA">
            <w:pPr>
              <w:spacing w:after="0" w:line="240" w:lineRule="auto"/>
              <w:jc w:val="both"/>
              <w:rPr>
                <w:rFonts w:cs="Calibri"/>
                <w:lang w:val="fr-FR"/>
              </w:rPr>
            </w:pPr>
            <w:r w:rsidRPr="00254C33">
              <w:rPr>
                <w:rFonts w:cs="Calibri"/>
                <w:lang w:val="fr-FR"/>
              </w:rPr>
              <w:t>La société tient à son siège un registre pour chaque catégorie de titres nominatifs</w:t>
            </w:r>
            <w:r w:rsidR="008C6DC2">
              <w:rPr>
                <w:rFonts w:cs="Calibri"/>
                <w:lang w:val="fr-FR"/>
              </w:rPr>
              <w:t xml:space="preserve"> donnant accès à des actions. L'</w:t>
            </w:r>
            <w:r w:rsidRPr="00254C33">
              <w:rPr>
                <w:rFonts w:cs="Calibri"/>
                <w:lang w:val="fr-FR"/>
              </w:rPr>
              <w:t>article 5:25 e</w:t>
            </w:r>
            <w:r w:rsidR="008C6DC2">
              <w:rPr>
                <w:rFonts w:cs="Calibri"/>
                <w:lang w:val="fr-FR"/>
              </w:rPr>
              <w:t>st applicable par analogie, à l'exception de l'</w:t>
            </w:r>
            <w:r w:rsidRPr="00254C33">
              <w:rPr>
                <w:rFonts w:cs="Calibri"/>
                <w:lang w:val="fr-FR"/>
              </w:rPr>
              <w:t>alinéa 1</w:t>
            </w:r>
            <w:r w:rsidRPr="00254C33">
              <w:rPr>
                <w:rFonts w:cs="Calibri"/>
                <w:vertAlign w:val="superscript"/>
                <w:lang w:val="fr-FR"/>
              </w:rPr>
              <w:t>er</w:t>
            </w:r>
            <w:r w:rsidRPr="00254C33">
              <w:rPr>
                <w:rFonts w:cs="Calibri"/>
                <w:lang w:val="fr-FR"/>
              </w:rPr>
              <w:t>, 4° et 7°.</w:t>
            </w:r>
          </w:p>
          <w:p w14:paraId="3253E455" w14:textId="77777777" w:rsidR="00E34FF7" w:rsidRPr="00DB7798" w:rsidRDefault="00E34FF7" w:rsidP="00B53AFB">
            <w:pPr>
              <w:spacing w:after="0" w:line="240" w:lineRule="auto"/>
              <w:jc w:val="both"/>
              <w:rPr>
                <w:rFonts w:cs="Calibri"/>
                <w:lang w:val="fr-FR"/>
              </w:rPr>
            </w:pPr>
          </w:p>
        </w:tc>
      </w:tr>
      <w:tr w:rsidR="003527B0" w:rsidRPr="00C0505B" w14:paraId="70ABBEF7" w14:textId="77777777" w:rsidTr="00046FF8">
        <w:trPr>
          <w:trHeight w:val="945"/>
        </w:trPr>
        <w:tc>
          <w:tcPr>
            <w:tcW w:w="2122" w:type="dxa"/>
          </w:tcPr>
          <w:p w14:paraId="4BC7EA99" w14:textId="77777777" w:rsidR="003527B0" w:rsidRDefault="003527B0" w:rsidP="00887026">
            <w:pPr>
              <w:spacing w:after="0" w:line="240" w:lineRule="auto"/>
              <w:jc w:val="both"/>
              <w:rPr>
                <w:rFonts w:cs="Calibri"/>
                <w:lang w:val="fr-FR"/>
              </w:rPr>
            </w:pPr>
            <w:r>
              <w:rPr>
                <w:rFonts w:cs="Calibri"/>
                <w:lang w:val="fr-FR"/>
              </w:rPr>
              <w:t>Ontwerp</w:t>
            </w:r>
          </w:p>
        </w:tc>
        <w:tc>
          <w:tcPr>
            <w:tcW w:w="5811" w:type="dxa"/>
            <w:shd w:val="clear" w:color="auto" w:fill="auto"/>
          </w:tcPr>
          <w:p w14:paraId="4F7FC7D9" w14:textId="77777777" w:rsidR="003527B0" w:rsidRPr="002414B9" w:rsidRDefault="003527B0" w:rsidP="00887026">
            <w:pPr>
              <w:spacing w:after="0" w:line="240" w:lineRule="auto"/>
              <w:jc w:val="both"/>
              <w:rPr>
                <w:rFonts w:cs="Calibri"/>
                <w:lang w:val="nl-BE"/>
              </w:rPr>
            </w:pPr>
            <w:r>
              <w:rPr>
                <w:rFonts w:cs="Calibri"/>
                <w:lang w:val="nl-BE"/>
              </w:rPr>
              <w:t xml:space="preserve">Art. 5:26. </w:t>
            </w:r>
            <w:r w:rsidRPr="002414B9">
              <w:rPr>
                <w:rFonts w:cs="Calibri"/>
                <w:lang w:val="nl-BE"/>
              </w:rPr>
              <w:t>De vennootschap houdt op haar zetel een register voor elke categorie van effecten op naam die toegang geven tot aandelen. Artikel 5:25, met uitzondering van het eerste lid, 4° en 7°, is van overeenkomstige toepassing.</w:t>
            </w:r>
          </w:p>
        </w:tc>
        <w:tc>
          <w:tcPr>
            <w:tcW w:w="5812" w:type="dxa"/>
            <w:shd w:val="clear" w:color="auto" w:fill="auto"/>
          </w:tcPr>
          <w:p w14:paraId="7422A89F" w14:textId="5590F4AC" w:rsidR="003527B0" w:rsidRPr="002414B9" w:rsidRDefault="003527B0" w:rsidP="00887026">
            <w:pPr>
              <w:spacing w:after="0" w:line="240" w:lineRule="auto"/>
              <w:jc w:val="both"/>
              <w:rPr>
                <w:rFonts w:cs="Calibri"/>
                <w:lang w:val="fr-FR"/>
              </w:rPr>
            </w:pPr>
            <w:r>
              <w:rPr>
                <w:rFonts w:cs="Calibri"/>
                <w:lang w:val="fr-FR"/>
              </w:rPr>
              <w:t xml:space="preserve">Art. 5:26. </w:t>
            </w:r>
            <w:r w:rsidRPr="00046FF8">
              <w:rPr>
                <w:rFonts w:cs="Calibri"/>
                <w:lang w:val="fr-FR"/>
              </w:rPr>
              <w:t xml:space="preserve">La société tient à son siège un registre pour chaque catégorie de titres nominatifs donnant accès à des actions. </w:t>
            </w:r>
            <w:r w:rsidR="008C6DC2">
              <w:rPr>
                <w:rFonts w:cs="Calibri"/>
                <w:lang w:val="fr-FR"/>
              </w:rPr>
              <w:t>L'</w:t>
            </w:r>
            <w:r w:rsidRPr="002414B9">
              <w:rPr>
                <w:rFonts w:cs="Calibri"/>
                <w:lang w:val="fr-FR"/>
              </w:rPr>
              <w:t>article 5:25 e</w:t>
            </w:r>
            <w:r w:rsidR="008C6DC2">
              <w:rPr>
                <w:rFonts w:cs="Calibri"/>
                <w:lang w:val="fr-FR"/>
              </w:rPr>
              <w:t>st applicable par analogie, à l'exception de l'</w:t>
            </w:r>
            <w:bookmarkStart w:id="0" w:name="_GoBack"/>
            <w:bookmarkEnd w:id="0"/>
            <w:r w:rsidRPr="002414B9">
              <w:rPr>
                <w:rFonts w:cs="Calibri"/>
                <w:lang w:val="fr-FR"/>
              </w:rPr>
              <w:t>alinéa 1er, 4° et 7°.</w:t>
            </w:r>
          </w:p>
        </w:tc>
      </w:tr>
      <w:tr w:rsidR="003527B0" w:rsidRPr="000A688F" w14:paraId="4DA41A70" w14:textId="77777777" w:rsidTr="00046FF8">
        <w:trPr>
          <w:trHeight w:val="439"/>
        </w:trPr>
        <w:tc>
          <w:tcPr>
            <w:tcW w:w="2122" w:type="dxa"/>
          </w:tcPr>
          <w:p w14:paraId="07C9F675" w14:textId="77777777" w:rsidR="003527B0" w:rsidRPr="000A688F" w:rsidRDefault="003527B0" w:rsidP="002414B9">
            <w:pPr>
              <w:spacing w:after="0" w:line="240" w:lineRule="auto"/>
              <w:jc w:val="both"/>
              <w:rPr>
                <w:rFonts w:cs="Calibri"/>
                <w:lang w:val="fr-FR"/>
              </w:rPr>
            </w:pPr>
            <w:r>
              <w:rPr>
                <w:rFonts w:cs="Calibri"/>
                <w:lang w:val="fr-FR"/>
              </w:rPr>
              <w:t>Voorontwerp</w:t>
            </w:r>
          </w:p>
        </w:tc>
        <w:tc>
          <w:tcPr>
            <w:tcW w:w="5811" w:type="dxa"/>
            <w:shd w:val="clear" w:color="auto" w:fill="auto"/>
          </w:tcPr>
          <w:p w14:paraId="6A008932" w14:textId="77777777" w:rsidR="003527B0" w:rsidRPr="000A688F" w:rsidRDefault="003527B0" w:rsidP="003604AA">
            <w:pPr>
              <w:spacing w:after="0" w:line="240" w:lineRule="auto"/>
              <w:jc w:val="both"/>
              <w:rPr>
                <w:rFonts w:cs="Calibri"/>
                <w:lang w:val="fr-FR"/>
              </w:rPr>
            </w:pPr>
            <w:r>
              <w:rPr>
                <w:rFonts w:cs="Calibri"/>
                <w:lang w:val="fr-FR"/>
              </w:rPr>
              <w:t>Geen artikel.</w:t>
            </w:r>
          </w:p>
        </w:tc>
        <w:tc>
          <w:tcPr>
            <w:tcW w:w="5812" w:type="dxa"/>
            <w:shd w:val="clear" w:color="auto" w:fill="auto"/>
          </w:tcPr>
          <w:p w14:paraId="319C20D3" w14:textId="77777777" w:rsidR="003527B0" w:rsidRPr="00254C33" w:rsidRDefault="003527B0" w:rsidP="003604AA">
            <w:pPr>
              <w:spacing w:after="0" w:line="240" w:lineRule="auto"/>
              <w:jc w:val="both"/>
              <w:rPr>
                <w:rFonts w:cs="Calibri"/>
                <w:lang w:val="fr-FR"/>
              </w:rPr>
            </w:pPr>
            <w:r>
              <w:rPr>
                <w:rFonts w:cs="Calibri"/>
                <w:lang w:val="fr-FR"/>
              </w:rPr>
              <w:t>Pas d’article.</w:t>
            </w:r>
          </w:p>
        </w:tc>
      </w:tr>
      <w:tr w:rsidR="003527B0" w:rsidRPr="00C0505B" w14:paraId="7972229C" w14:textId="77777777" w:rsidTr="00046FF8">
        <w:trPr>
          <w:trHeight w:val="945"/>
        </w:trPr>
        <w:tc>
          <w:tcPr>
            <w:tcW w:w="2122" w:type="dxa"/>
          </w:tcPr>
          <w:p w14:paraId="2B972816" w14:textId="77777777" w:rsidR="003527B0" w:rsidRDefault="003527B0" w:rsidP="002414B9">
            <w:pPr>
              <w:spacing w:after="0" w:line="240" w:lineRule="auto"/>
              <w:jc w:val="both"/>
              <w:rPr>
                <w:rFonts w:cs="Calibri"/>
                <w:lang w:val="fr-FR"/>
              </w:rPr>
            </w:pPr>
            <w:r>
              <w:rPr>
                <w:rFonts w:cs="Calibri"/>
                <w:lang w:val="fr-FR"/>
              </w:rPr>
              <w:t>MvT</w:t>
            </w:r>
          </w:p>
        </w:tc>
        <w:tc>
          <w:tcPr>
            <w:tcW w:w="5811" w:type="dxa"/>
            <w:shd w:val="clear" w:color="auto" w:fill="auto"/>
          </w:tcPr>
          <w:p w14:paraId="60E98EF6" w14:textId="77777777" w:rsidR="003527B0" w:rsidRPr="00046FF8" w:rsidRDefault="003527B0" w:rsidP="00046FF8">
            <w:pPr>
              <w:spacing w:after="0" w:line="240" w:lineRule="auto"/>
              <w:jc w:val="both"/>
              <w:rPr>
                <w:rFonts w:cs="Calibri"/>
                <w:lang w:val="nl-BE"/>
              </w:rPr>
            </w:pPr>
            <w:r w:rsidRPr="00046FF8">
              <w:rPr>
                <w:rFonts w:cs="Calibri"/>
                <w:lang w:val="nl-BE"/>
              </w:rPr>
              <w:t xml:space="preserve">Deze bepaling voert een regeling in voor het derde effectenregister dat sommige BV’s kunnen aanhouden, naast het aandelenregister en het register van obligaties, namelijk het register van effecten die toegang geven tot aandelen (zoals inschrijvingsrechten, converteerbare obligaties of obligaties met inschrijvingsrecht). Het leek nuttig door een expliciete bepaling de verplichting van dergelijk register te verduidelijken, ook al is die verplichting, zoals de Raad van State opmerkt, impliciet al gedekt door  artikel 5:24 in ontwerp. </w:t>
            </w:r>
          </w:p>
          <w:p w14:paraId="7B1E4B54" w14:textId="77777777" w:rsidR="003527B0" w:rsidRPr="00046FF8" w:rsidRDefault="003527B0" w:rsidP="00046FF8">
            <w:pPr>
              <w:spacing w:after="0" w:line="240" w:lineRule="auto"/>
              <w:jc w:val="both"/>
              <w:rPr>
                <w:rFonts w:cs="Calibri"/>
                <w:lang w:val="nl-BE"/>
              </w:rPr>
            </w:pPr>
          </w:p>
          <w:p w14:paraId="543CDF28" w14:textId="77777777" w:rsidR="003527B0" w:rsidRDefault="003527B0" w:rsidP="003604AA">
            <w:pPr>
              <w:spacing w:after="0" w:line="240" w:lineRule="auto"/>
              <w:jc w:val="both"/>
              <w:rPr>
                <w:rFonts w:cs="Calibri"/>
                <w:lang w:val="nl-BE"/>
              </w:rPr>
            </w:pPr>
            <w:r w:rsidRPr="00046FF8">
              <w:rPr>
                <w:rFonts w:cs="Calibri"/>
                <w:lang w:val="nl-BE"/>
              </w:rPr>
              <w:t>Effecten die toegang geven tot aandelen zijn effecten die onder meer toelaten om in te schrijven op aandelen of in aandelen kunnen worden geconverteerd.</w:t>
            </w:r>
          </w:p>
        </w:tc>
        <w:tc>
          <w:tcPr>
            <w:tcW w:w="5812" w:type="dxa"/>
            <w:shd w:val="clear" w:color="auto" w:fill="auto"/>
          </w:tcPr>
          <w:p w14:paraId="3E49F54C" w14:textId="77777777" w:rsidR="003527B0" w:rsidRPr="00046FF8" w:rsidRDefault="003527B0" w:rsidP="00046FF8">
            <w:pPr>
              <w:spacing w:after="0" w:line="240" w:lineRule="auto"/>
              <w:jc w:val="both"/>
              <w:rPr>
                <w:rFonts w:cs="Calibri"/>
                <w:lang w:val="fr-FR"/>
              </w:rPr>
            </w:pPr>
            <w:r w:rsidRPr="00046FF8">
              <w:rPr>
                <w:rFonts w:cs="Calibri"/>
                <w:lang w:val="fr-FR"/>
              </w:rPr>
              <w:t>Cette disposition introduit une disposition relative au troisième registre de titres que peuvent tenir certaines SPRL, en plus du registre des titres et du registre des obligations, à savoir le registre des titres qui donnent droit à des actions (comme les droits de souscription, les obligations convertibles ou avec droit de souscription). Il a paru utile de préciser par une disposition explicite l’obligation de tenir un tel registre, même si cette obligation, comme le fait remarquer le Conseil d'État, est déjà implicitement couverte par l’article 5:24 en projet.</w:t>
            </w:r>
          </w:p>
          <w:p w14:paraId="36543070" w14:textId="77777777" w:rsidR="003527B0" w:rsidRPr="00046FF8" w:rsidRDefault="003527B0" w:rsidP="00046FF8">
            <w:pPr>
              <w:spacing w:after="0" w:line="240" w:lineRule="auto"/>
              <w:jc w:val="both"/>
              <w:rPr>
                <w:rFonts w:cs="Calibri"/>
                <w:lang w:val="fr-FR"/>
              </w:rPr>
            </w:pPr>
          </w:p>
          <w:p w14:paraId="56D30BA2" w14:textId="77777777" w:rsidR="003527B0" w:rsidRPr="00046FF8" w:rsidRDefault="003527B0" w:rsidP="003604AA">
            <w:pPr>
              <w:spacing w:after="0" w:line="240" w:lineRule="auto"/>
              <w:jc w:val="both"/>
              <w:rPr>
                <w:rFonts w:cs="Calibri"/>
                <w:lang w:val="fr-FR"/>
              </w:rPr>
            </w:pPr>
            <w:r w:rsidRPr="00046FF8">
              <w:rPr>
                <w:rFonts w:cs="Calibri"/>
                <w:lang w:val="fr-FR"/>
              </w:rPr>
              <w:t>Les titres qui donnent accès à des actions sont des titres qui, notamment, permettent de souscrire à des actions ou peuvent être convertis en actions.</w:t>
            </w:r>
          </w:p>
        </w:tc>
      </w:tr>
      <w:tr w:rsidR="003527B0" w:rsidRPr="00C0505B" w14:paraId="62187F3E" w14:textId="77777777" w:rsidTr="00046FF8">
        <w:trPr>
          <w:trHeight w:val="945"/>
        </w:trPr>
        <w:tc>
          <w:tcPr>
            <w:tcW w:w="2122" w:type="dxa"/>
          </w:tcPr>
          <w:p w14:paraId="2AA6B5EE" w14:textId="77777777" w:rsidR="003527B0" w:rsidRDefault="003527B0" w:rsidP="002414B9">
            <w:pPr>
              <w:spacing w:after="0" w:line="240" w:lineRule="auto"/>
              <w:jc w:val="both"/>
              <w:rPr>
                <w:rFonts w:cs="Calibri"/>
                <w:lang w:val="fr-FR"/>
              </w:rPr>
            </w:pPr>
            <w:r>
              <w:rPr>
                <w:rFonts w:cs="Calibri"/>
                <w:lang w:val="fr-FR"/>
              </w:rPr>
              <w:t>RvSt</w:t>
            </w:r>
          </w:p>
        </w:tc>
        <w:tc>
          <w:tcPr>
            <w:tcW w:w="5811" w:type="dxa"/>
            <w:shd w:val="clear" w:color="auto" w:fill="auto"/>
          </w:tcPr>
          <w:p w14:paraId="589E3DA8" w14:textId="77777777" w:rsidR="003527B0" w:rsidRPr="00046FF8" w:rsidRDefault="003527B0" w:rsidP="00046FF8">
            <w:pPr>
              <w:spacing w:after="0" w:line="240" w:lineRule="auto"/>
              <w:jc w:val="both"/>
              <w:rPr>
                <w:rFonts w:cs="Calibri"/>
                <w:lang w:val="nl-BE"/>
              </w:rPr>
            </w:pPr>
            <w:r w:rsidRPr="00046FF8">
              <w:rPr>
                <w:rFonts w:cs="Calibri"/>
                <w:lang w:val="nl-BE"/>
              </w:rPr>
              <w:t>1.</w:t>
            </w:r>
            <w:r w:rsidRPr="00046FF8">
              <w:rPr>
                <w:rFonts w:cs="Calibri"/>
                <w:lang w:val="nl-BE"/>
              </w:rPr>
              <w:tab/>
              <w:t>De vraag rijst of het niet beter zou zijn ook de gedeelde zakelijke rechten en de personen die ten aanzien van de vennootschap als houder van het stemrecht aangewezen zijn, op te nemen in het register van de effecten op naam.</w:t>
            </w:r>
          </w:p>
          <w:p w14:paraId="49B039D6" w14:textId="77777777" w:rsidR="003527B0" w:rsidRPr="00046FF8" w:rsidRDefault="003527B0" w:rsidP="00046FF8">
            <w:pPr>
              <w:spacing w:after="0" w:line="240" w:lineRule="auto"/>
              <w:jc w:val="both"/>
              <w:rPr>
                <w:rFonts w:cs="Calibri"/>
                <w:lang w:val="nl-BE"/>
              </w:rPr>
            </w:pPr>
          </w:p>
          <w:p w14:paraId="08A79E7D" w14:textId="77777777" w:rsidR="003527B0" w:rsidRPr="00046FF8" w:rsidRDefault="003527B0" w:rsidP="00046FF8">
            <w:pPr>
              <w:spacing w:after="0" w:line="240" w:lineRule="auto"/>
              <w:jc w:val="both"/>
              <w:rPr>
                <w:rFonts w:cs="Calibri"/>
                <w:lang w:val="nl-BE"/>
              </w:rPr>
            </w:pPr>
            <w:r w:rsidRPr="00046FF8">
              <w:rPr>
                <w:rFonts w:cs="Calibri"/>
                <w:lang w:val="nl-BE"/>
              </w:rPr>
              <w:t>Dezelfde opmerking geldt voor de ontworpen artikelen 5:20, 7:24, 7:25 en 7:26.</w:t>
            </w:r>
          </w:p>
          <w:p w14:paraId="2177C96D" w14:textId="77777777" w:rsidR="003527B0" w:rsidRPr="00046FF8" w:rsidRDefault="003527B0" w:rsidP="00046FF8">
            <w:pPr>
              <w:spacing w:after="0" w:line="240" w:lineRule="auto"/>
              <w:jc w:val="both"/>
              <w:rPr>
                <w:rFonts w:cs="Calibri"/>
                <w:lang w:val="nl-BE"/>
              </w:rPr>
            </w:pPr>
          </w:p>
          <w:p w14:paraId="0B770DED" w14:textId="77777777" w:rsidR="003527B0" w:rsidRPr="00046FF8" w:rsidRDefault="003527B0" w:rsidP="00046FF8">
            <w:pPr>
              <w:spacing w:after="0" w:line="240" w:lineRule="auto"/>
              <w:jc w:val="both"/>
              <w:rPr>
                <w:rFonts w:cs="Calibri"/>
                <w:lang w:val="nl-BE"/>
              </w:rPr>
            </w:pPr>
            <w:r w:rsidRPr="00046FF8">
              <w:rPr>
                <w:rFonts w:cs="Calibri"/>
                <w:lang w:val="nl-BE"/>
              </w:rPr>
              <w:t>2.</w:t>
            </w:r>
            <w:r w:rsidRPr="00046FF8">
              <w:rPr>
                <w:rFonts w:cs="Calibri"/>
                <w:lang w:val="nl-BE"/>
              </w:rPr>
              <w:tab/>
              <w:t>Het eerste lid van paragraaf 1 betreft alle effecten op naam die door de vennootschap uitgegeven zijn, terwijl het tweede lid van die paragraaf alleen betrekking heeft op de aandelen. Paragraaf 2 betreft verder de effecten die toegang geven tot aandelen en het ontworpen artikel 5:20 heeft betrekking op de obligaties.</w:t>
            </w:r>
          </w:p>
          <w:p w14:paraId="715E00D5" w14:textId="77777777" w:rsidR="003527B0" w:rsidRPr="00046FF8" w:rsidRDefault="003527B0" w:rsidP="00046FF8">
            <w:pPr>
              <w:spacing w:after="0" w:line="240" w:lineRule="auto"/>
              <w:jc w:val="both"/>
              <w:rPr>
                <w:rFonts w:cs="Calibri"/>
                <w:lang w:val="nl-BE"/>
              </w:rPr>
            </w:pPr>
          </w:p>
          <w:p w14:paraId="3E52CD03" w14:textId="77777777" w:rsidR="003527B0" w:rsidRPr="00046FF8" w:rsidRDefault="003527B0" w:rsidP="00046FF8">
            <w:pPr>
              <w:spacing w:after="0" w:line="240" w:lineRule="auto"/>
              <w:jc w:val="both"/>
              <w:rPr>
                <w:rFonts w:cs="Calibri"/>
                <w:lang w:val="nl-BE"/>
              </w:rPr>
            </w:pPr>
            <w:r w:rsidRPr="00046FF8">
              <w:rPr>
                <w:rFonts w:cs="Calibri"/>
                <w:lang w:val="nl-BE"/>
              </w:rPr>
              <w:t>De verwarrende structuur die ervoor zorgt dat het dispositief niet alleen moeilijk te begrijpen valt, maar ook onsamenhangend wordt, moet herzien worden. Er wordt tevens verwezen naar opmerking nr. 5, infra.</w:t>
            </w:r>
          </w:p>
          <w:p w14:paraId="098FB9A5" w14:textId="77777777" w:rsidR="003527B0" w:rsidRPr="00046FF8" w:rsidRDefault="003527B0" w:rsidP="00046FF8">
            <w:pPr>
              <w:spacing w:after="0" w:line="240" w:lineRule="auto"/>
              <w:jc w:val="both"/>
              <w:rPr>
                <w:rFonts w:cs="Calibri"/>
                <w:lang w:val="nl-BE"/>
              </w:rPr>
            </w:pPr>
          </w:p>
          <w:p w14:paraId="69D1A257" w14:textId="77777777" w:rsidR="003527B0" w:rsidRPr="00046FF8" w:rsidRDefault="003527B0" w:rsidP="00046FF8">
            <w:pPr>
              <w:spacing w:after="0" w:line="240" w:lineRule="auto"/>
              <w:jc w:val="both"/>
              <w:rPr>
                <w:rFonts w:cs="Calibri"/>
                <w:lang w:val="nl-BE"/>
              </w:rPr>
            </w:pPr>
            <w:r w:rsidRPr="00046FF8">
              <w:rPr>
                <w:rFonts w:cs="Calibri"/>
                <w:lang w:val="nl-BE"/>
              </w:rPr>
              <w:t>3.</w:t>
            </w:r>
            <w:r w:rsidRPr="00046FF8">
              <w:rPr>
                <w:rFonts w:cs="Calibri"/>
                <w:lang w:val="nl-BE"/>
              </w:rPr>
              <w:tab/>
              <w:t>Paragraaf 1, tweede lid, 5°, geeft aanleiding tot de volgende opmerking.</w:t>
            </w:r>
          </w:p>
          <w:p w14:paraId="2A4DD4AD" w14:textId="77777777" w:rsidR="003527B0" w:rsidRPr="00046FF8" w:rsidRDefault="003527B0" w:rsidP="00046FF8">
            <w:pPr>
              <w:spacing w:after="0" w:line="240" w:lineRule="auto"/>
              <w:jc w:val="both"/>
              <w:rPr>
                <w:rFonts w:cs="Calibri"/>
                <w:lang w:val="nl-BE"/>
              </w:rPr>
            </w:pPr>
          </w:p>
          <w:p w14:paraId="06E4A800" w14:textId="77777777" w:rsidR="003527B0" w:rsidRDefault="003527B0" w:rsidP="00046FF8">
            <w:pPr>
              <w:spacing w:after="0" w:line="240" w:lineRule="auto"/>
              <w:jc w:val="both"/>
              <w:rPr>
                <w:rFonts w:cs="Calibri"/>
                <w:lang w:val="nl-BE"/>
              </w:rPr>
            </w:pPr>
            <w:r w:rsidRPr="00046FF8">
              <w:rPr>
                <w:rFonts w:cs="Calibri"/>
                <w:lang w:val="nl-BE"/>
              </w:rPr>
              <w:t>Enerzijds is het zo dat het feit dat het nuttig kan zijn om de vennootschap en de andere aandeelhouders op de hoogte te brengen van beperkingen op de overdracht van aandelen die voortvloeien uit aandeelhoudersovereenkomsten, evenwel niet wegneemt dat de aandeelhouders verondersteld worden de statuten van hun vennootschap te kennen. Er moet bijgevolg vermeden worden dat een overdrager of een overnemer een gewettigde onwetendheid of een niet-tegenwerpbaarheid van de beperking kan inroepen indien die beperking niet in het register vermeld is. Dat zou in de bepaling expliciet moeten worden gepreciseerd.</w:t>
            </w:r>
          </w:p>
          <w:p w14:paraId="0D0DAF7E" w14:textId="77777777" w:rsidR="003527B0" w:rsidRPr="00046FF8" w:rsidRDefault="003527B0" w:rsidP="00046FF8">
            <w:pPr>
              <w:spacing w:after="0" w:line="240" w:lineRule="auto"/>
              <w:jc w:val="both"/>
              <w:rPr>
                <w:rFonts w:cs="Calibri"/>
                <w:lang w:val="nl-BE"/>
              </w:rPr>
            </w:pPr>
          </w:p>
          <w:p w14:paraId="61121DAF" w14:textId="77777777" w:rsidR="003527B0" w:rsidRPr="00046FF8" w:rsidRDefault="003527B0" w:rsidP="00046FF8">
            <w:pPr>
              <w:spacing w:after="0" w:line="240" w:lineRule="auto"/>
              <w:jc w:val="both"/>
              <w:rPr>
                <w:rFonts w:cs="Calibri"/>
                <w:lang w:val="nl-BE"/>
              </w:rPr>
            </w:pPr>
            <w:r w:rsidRPr="00046FF8">
              <w:rPr>
                <w:rFonts w:cs="Calibri"/>
                <w:lang w:val="nl-BE"/>
              </w:rPr>
              <w:t xml:space="preserve">Anderzijds zou het toepassingsgebied van de bepaling op zinvolle wijze kunnen worden uitgebreid tot andere overdrachtsbeperkingen, bijvoorbeeld de beperkingen die voortvloeien uit een inpandgeving die, hoewel ze wel degelijk een overeenkomst is, geen “aandeelhoudersovereenkomst” is. De tekst moet dus vervangen worden door de woorden “de </w:t>
            </w:r>
            <w:r w:rsidRPr="00046FF8">
              <w:rPr>
                <w:rFonts w:cs="Calibri"/>
                <w:lang w:val="nl-BE"/>
              </w:rPr>
              <w:lastRenderedPageBreak/>
              <w:t>beperkingen op de overdracht van aandelen, die voortvloeien uit overeenkomsten, wanneer één van de partijen daarom verzoekt”.</w:t>
            </w:r>
          </w:p>
          <w:p w14:paraId="0F09A329" w14:textId="77777777" w:rsidR="003527B0" w:rsidRPr="00046FF8" w:rsidRDefault="003527B0" w:rsidP="00046FF8">
            <w:pPr>
              <w:spacing w:after="0" w:line="240" w:lineRule="auto"/>
              <w:jc w:val="both"/>
              <w:rPr>
                <w:rFonts w:cs="Calibri"/>
                <w:lang w:val="nl-BE"/>
              </w:rPr>
            </w:pPr>
          </w:p>
          <w:p w14:paraId="7FC51489" w14:textId="77777777" w:rsidR="003527B0" w:rsidRPr="00046FF8" w:rsidRDefault="003527B0" w:rsidP="00046FF8">
            <w:pPr>
              <w:spacing w:after="0" w:line="240" w:lineRule="auto"/>
              <w:jc w:val="both"/>
              <w:rPr>
                <w:rFonts w:cs="Calibri"/>
                <w:lang w:val="nl-BE"/>
              </w:rPr>
            </w:pPr>
            <w:r w:rsidRPr="00046FF8">
              <w:rPr>
                <w:rFonts w:cs="Calibri"/>
                <w:lang w:val="nl-BE"/>
              </w:rPr>
              <w:t>Dezelfde opmerking geldt voor het ontworpen artikel 7:24, § 1, tweede lid, 5°.</w:t>
            </w:r>
          </w:p>
          <w:p w14:paraId="46B1D843" w14:textId="77777777" w:rsidR="003527B0" w:rsidRPr="00046FF8" w:rsidRDefault="003527B0" w:rsidP="00046FF8">
            <w:pPr>
              <w:spacing w:after="0" w:line="240" w:lineRule="auto"/>
              <w:jc w:val="both"/>
              <w:rPr>
                <w:rFonts w:cs="Calibri"/>
                <w:lang w:val="nl-BE"/>
              </w:rPr>
            </w:pPr>
          </w:p>
          <w:p w14:paraId="2FC24BFF" w14:textId="77777777" w:rsidR="003527B0" w:rsidRPr="00046FF8" w:rsidRDefault="003527B0" w:rsidP="00046FF8">
            <w:pPr>
              <w:spacing w:after="0" w:line="240" w:lineRule="auto"/>
              <w:jc w:val="both"/>
              <w:rPr>
                <w:rFonts w:cs="Calibri"/>
                <w:lang w:val="nl-BE"/>
              </w:rPr>
            </w:pPr>
            <w:r w:rsidRPr="00046FF8">
              <w:rPr>
                <w:rFonts w:cs="Calibri"/>
                <w:lang w:val="nl-BE"/>
              </w:rPr>
              <w:t>4.</w:t>
            </w:r>
            <w:r w:rsidRPr="00046FF8">
              <w:rPr>
                <w:rFonts w:cs="Calibri"/>
                <w:lang w:val="nl-BE"/>
              </w:rPr>
              <w:tab/>
              <w:t>In paragraaf 1, tweede lid, 6°, is de verwijzing naar artikel 5:42, § 2, moeilijk te begrijpen. Moet niet verwezen worden naar het gehele artikel 5:42?</w:t>
            </w:r>
          </w:p>
          <w:p w14:paraId="4BEA3E51" w14:textId="77777777" w:rsidR="003527B0" w:rsidRPr="00046FF8" w:rsidRDefault="003527B0" w:rsidP="00046FF8">
            <w:pPr>
              <w:spacing w:after="0" w:line="240" w:lineRule="auto"/>
              <w:jc w:val="both"/>
              <w:rPr>
                <w:rFonts w:cs="Calibri"/>
                <w:lang w:val="nl-BE"/>
              </w:rPr>
            </w:pPr>
          </w:p>
          <w:p w14:paraId="74658A9B" w14:textId="77777777" w:rsidR="003527B0" w:rsidRPr="00046FF8" w:rsidRDefault="003527B0" w:rsidP="00046FF8">
            <w:pPr>
              <w:spacing w:after="0" w:line="240" w:lineRule="auto"/>
              <w:jc w:val="both"/>
              <w:rPr>
                <w:rFonts w:cs="Calibri"/>
                <w:lang w:val="nl-BE"/>
              </w:rPr>
            </w:pPr>
            <w:r w:rsidRPr="00046FF8">
              <w:rPr>
                <w:rFonts w:cs="Calibri"/>
                <w:lang w:val="nl-BE"/>
              </w:rPr>
              <w:t>5.</w:t>
            </w:r>
            <w:r w:rsidRPr="00046FF8">
              <w:rPr>
                <w:rFonts w:cs="Calibri"/>
                <w:lang w:val="nl-BE"/>
              </w:rPr>
              <w:tab/>
              <w:t>Paragraaf 1, derde lid, zal rekening moeten houden met het bijzondere geval van artikel 5:116, § 2.</w:t>
            </w:r>
          </w:p>
          <w:p w14:paraId="76834CB3" w14:textId="77777777" w:rsidR="003527B0" w:rsidRPr="00046FF8" w:rsidRDefault="003527B0" w:rsidP="00046FF8">
            <w:pPr>
              <w:spacing w:after="0" w:line="240" w:lineRule="auto"/>
              <w:jc w:val="both"/>
              <w:rPr>
                <w:rFonts w:cs="Calibri"/>
                <w:lang w:val="nl-BE"/>
              </w:rPr>
            </w:pPr>
          </w:p>
          <w:p w14:paraId="26225A8D" w14:textId="77777777" w:rsidR="003527B0" w:rsidRPr="00046FF8" w:rsidRDefault="003527B0" w:rsidP="00046FF8">
            <w:pPr>
              <w:spacing w:after="0" w:line="240" w:lineRule="auto"/>
              <w:jc w:val="both"/>
              <w:rPr>
                <w:rFonts w:cs="Calibri"/>
                <w:lang w:val="nl-BE"/>
              </w:rPr>
            </w:pPr>
            <w:r w:rsidRPr="00046FF8">
              <w:rPr>
                <w:rFonts w:cs="Calibri"/>
                <w:lang w:val="nl-BE"/>
              </w:rPr>
              <w:t>6.</w:t>
            </w:r>
            <w:r w:rsidRPr="00046FF8">
              <w:rPr>
                <w:rFonts w:cs="Calibri"/>
                <w:lang w:val="nl-BE"/>
              </w:rPr>
              <w:tab/>
              <w:t>Paragraaf 2, eerste zin geeft aanleiding tot de volgende opmerkingen:</w:t>
            </w:r>
          </w:p>
          <w:p w14:paraId="0EF89FE1" w14:textId="77777777" w:rsidR="003527B0" w:rsidRPr="00046FF8" w:rsidRDefault="003527B0" w:rsidP="00046FF8">
            <w:pPr>
              <w:spacing w:after="0" w:line="240" w:lineRule="auto"/>
              <w:jc w:val="both"/>
              <w:rPr>
                <w:rFonts w:cs="Calibri"/>
                <w:lang w:val="nl-BE"/>
              </w:rPr>
            </w:pPr>
          </w:p>
          <w:p w14:paraId="731A273E" w14:textId="77777777" w:rsidR="003527B0" w:rsidRPr="00046FF8" w:rsidRDefault="003527B0" w:rsidP="00046FF8">
            <w:pPr>
              <w:spacing w:after="0" w:line="240" w:lineRule="auto"/>
              <w:jc w:val="both"/>
              <w:rPr>
                <w:rFonts w:cs="Calibri"/>
                <w:lang w:val="nl-BE"/>
              </w:rPr>
            </w:pPr>
            <w:r w:rsidRPr="00046FF8">
              <w:rPr>
                <w:rFonts w:cs="Calibri"/>
                <w:lang w:val="nl-BE"/>
              </w:rPr>
              <w:t>Enerzijds lijkt dit lid een herhaling van de eerste zin van paragraaf 1. In dat opzicht is het overbodig en moet het vervallen.</w:t>
            </w:r>
          </w:p>
          <w:p w14:paraId="4D6071AE" w14:textId="77777777" w:rsidR="003527B0" w:rsidRPr="00046FF8" w:rsidRDefault="003527B0" w:rsidP="00046FF8">
            <w:pPr>
              <w:spacing w:after="0" w:line="240" w:lineRule="auto"/>
              <w:jc w:val="both"/>
              <w:rPr>
                <w:rFonts w:cs="Calibri"/>
                <w:lang w:val="nl-BE"/>
              </w:rPr>
            </w:pPr>
          </w:p>
          <w:p w14:paraId="07F5F94E" w14:textId="77777777" w:rsidR="003527B0" w:rsidRPr="00046FF8" w:rsidRDefault="003527B0" w:rsidP="00046FF8">
            <w:pPr>
              <w:spacing w:after="0" w:line="240" w:lineRule="auto"/>
              <w:jc w:val="both"/>
              <w:rPr>
                <w:rFonts w:cs="Calibri"/>
                <w:lang w:val="nl-BE"/>
              </w:rPr>
            </w:pPr>
            <w:r w:rsidRPr="00046FF8">
              <w:rPr>
                <w:rFonts w:cs="Calibri"/>
                <w:lang w:val="nl-BE"/>
              </w:rPr>
              <w:t>Maar anderzijds beperkt het toepassingsgebied van dit lid zich niet tot de effecten op naam, in tegenstelling tot dat van paragraaf 1, eerste zin. De BV zal echter gedematerialiseerde effecten (ontworpen artikel 5:18, eerste lid) en zelfs effecten aan toonder (ontworpen artikel 5:18, tweede lid), kunnen uitgeven. Het is echter niet duidelijk hoe een vennootschap een register van de gedematerialiseerde effecten of de effecten aan toonder kan opstellen. Het dispositief moet worden aangepast.</w:t>
            </w:r>
          </w:p>
          <w:p w14:paraId="0269D7B1" w14:textId="77777777" w:rsidR="003527B0" w:rsidRPr="00046FF8" w:rsidRDefault="003527B0" w:rsidP="00046FF8">
            <w:pPr>
              <w:spacing w:after="0" w:line="240" w:lineRule="auto"/>
              <w:jc w:val="both"/>
              <w:rPr>
                <w:rFonts w:cs="Calibri"/>
                <w:lang w:val="nl-BE"/>
              </w:rPr>
            </w:pPr>
          </w:p>
          <w:p w14:paraId="3184572D" w14:textId="77777777" w:rsidR="003527B0" w:rsidRPr="00046FF8" w:rsidRDefault="003527B0" w:rsidP="00046FF8">
            <w:pPr>
              <w:spacing w:after="0" w:line="240" w:lineRule="auto"/>
              <w:jc w:val="both"/>
              <w:rPr>
                <w:rFonts w:cs="Calibri"/>
                <w:lang w:val="nl-BE"/>
              </w:rPr>
            </w:pPr>
            <w:r w:rsidRPr="00046FF8">
              <w:rPr>
                <w:rFonts w:cs="Calibri"/>
                <w:lang w:val="nl-BE"/>
              </w:rPr>
              <w:t>Dezelfde opmerking geldt voor het ontworpen artikel 7:24, § 2, eerste lid.</w:t>
            </w:r>
          </w:p>
          <w:p w14:paraId="3D1123D4" w14:textId="77777777" w:rsidR="003527B0" w:rsidRPr="00046FF8" w:rsidRDefault="003527B0" w:rsidP="00046FF8">
            <w:pPr>
              <w:spacing w:after="0" w:line="240" w:lineRule="auto"/>
              <w:jc w:val="both"/>
              <w:rPr>
                <w:rFonts w:cs="Calibri"/>
                <w:lang w:val="nl-BE"/>
              </w:rPr>
            </w:pPr>
          </w:p>
          <w:p w14:paraId="55985BA0" w14:textId="77777777" w:rsidR="003527B0" w:rsidRPr="00046FF8" w:rsidRDefault="003527B0" w:rsidP="00046FF8">
            <w:pPr>
              <w:spacing w:after="0" w:line="240" w:lineRule="auto"/>
              <w:jc w:val="both"/>
              <w:rPr>
                <w:rFonts w:cs="Calibri"/>
                <w:lang w:val="nl-BE"/>
              </w:rPr>
            </w:pPr>
            <w:r w:rsidRPr="00046FF8">
              <w:rPr>
                <w:rFonts w:cs="Calibri"/>
                <w:lang w:val="nl-BE"/>
              </w:rPr>
              <w:lastRenderedPageBreak/>
              <w:t>7.</w:t>
            </w:r>
            <w:r w:rsidRPr="00046FF8">
              <w:rPr>
                <w:rFonts w:cs="Calibri"/>
                <w:lang w:val="nl-BE"/>
              </w:rPr>
              <w:tab/>
              <w:t>In de veronderstelling dat paragraaf 2 behouden blijft, moet men zich de vraag stellen of in die paragraaf 2, tweede zin, de uitzondering ten aanzien van paragraaf 1, 4°, niet moet worden uitgebreid tot paragraaf 1, 7°.</w:t>
            </w:r>
          </w:p>
          <w:p w14:paraId="50FFDA46" w14:textId="77777777" w:rsidR="003527B0" w:rsidRPr="00046FF8" w:rsidRDefault="003527B0" w:rsidP="00046FF8">
            <w:pPr>
              <w:spacing w:after="0" w:line="240" w:lineRule="auto"/>
              <w:jc w:val="both"/>
              <w:rPr>
                <w:rFonts w:cs="Calibri"/>
                <w:lang w:val="nl-BE"/>
              </w:rPr>
            </w:pPr>
          </w:p>
          <w:p w14:paraId="02657E68" w14:textId="77777777" w:rsidR="003527B0" w:rsidRPr="00046FF8" w:rsidRDefault="003527B0" w:rsidP="00046FF8">
            <w:pPr>
              <w:spacing w:after="0" w:line="240" w:lineRule="auto"/>
              <w:jc w:val="both"/>
              <w:rPr>
                <w:rFonts w:cs="Calibri"/>
                <w:lang w:val="nl-BE"/>
              </w:rPr>
            </w:pPr>
            <w:r w:rsidRPr="00046FF8">
              <w:rPr>
                <w:rFonts w:cs="Calibri"/>
                <w:lang w:val="nl-BE"/>
              </w:rPr>
              <w:t>Dezelfde opmerking geldt voor het ontworpen artikel 7:24, § 2, tweede lid.</w:t>
            </w:r>
          </w:p>
          <w:p w14:paraId="0AAF207E" w14:textId="77777777" w:rsidR="003527B0" w:rsidRPr="00046FF8" w:rsidRDefault="003527B0" w:rsidP="00046FF8">
            <w:pPr>
              <w:spacing w:after="0" w:line="240" w:lineRule="auto"/>
              <w:jc w:val="both"/>
              <w:rPr>
                <w:rFonts w:cs="Calibri"/>
                <w:lang w:val="nl-BE"/>
              </w:rPr>
            </w:pPr>
          </w:p>
          <w:p w14:paraId="7B7E4AE7" w14:textId="77777777" w:rsidR="003527B0" w:rsidRPr="00046FF8" w:rsidRDefault="003527B0" w:rsidP="00046FF8">
            <w:pPr>
              <w:spacing w:after="0" w:line="240" w:lineRule="auto"/>
              <w:jc w:val="both"/>
              <w:rPr>
                <w:rFonts w:cs="Calibri"/>
                <w:lang w:val="nl-BE"/>
              </w:rPr>
            </w:pPr>
            <w:r w:rsidRPr="00046FF8">
              <w:rPr>
                <w:rFonts w:cs="Calibri"/>
                <w:lang w:val="nl-BE"/>
              </w:rPr>
              <w:t>Een soortgelijke opmerking geldt voor de ontworpen artikelen 7:24 tot 7:26.</w:t>
            </w:r>
          </w:p>
        </w:tc>
        <w:tc>
          <w:tcPr>
            <w:tcW w:w="5812" w:type="dxa"/>
            <w:shd w:val="clear" w:color="auto" w:fill="auto"/>
          </w:tcPr>
          <w:p w14:paraId="370C7B8B" w14:textId="77777777" w:rsidR="003527B0" w:rsidRPr="00046FF8" w:rsidRDefault="003527B0" w:rsidP="00046FF8">
            <w:pPr>
              <w:spacing w:after="0" w:line="240" w:lineRule="auto"/>
              <w:jc w:val="both"/>
              <w:rPr>
                <w:rFonts w:cs="Calibri"/>
                <w:lang w:val="fr-FR"/>
              </w:rPr>
            </w:pPr>
            <w:r w:rsidRPr="00046FF8">
              <w:rPr>
                <w:rFonts w:cs="Calibri"/>
                <w:lang w:val="fr-FR"/>
              </w:rPr>
              <w:lastRenderedPageBreak/>
              <w:t>1.</w:t>
            </w:r>
            <w:r w:rsidRPr="00046FF8">
              <w:rPr>
                <w:rFonts w:cs="Calibri"/>
                <w:lang w:val="fr-FR"/>
              </w:rPr>
              <w:tab/>
              <w:t>La question se pose de savoir si les droits réels partagés et les personnes désignées à l’égard de la société comme étant titulaires du droit de vote ne devraient pas également figurer dans le registre des titres nominatifs.</w:t>
            </w:r>
          </w:p>
          <w:p w14:paraId="74EC42F5" w14:textId="77777777" w:rsidR="003527B0" w:rsidRPr="00046FF8" w:rsidRDefault="003527B0" w:rsidP="00046FF8">
            <w:pPr>
              <w:spacing w:after="0" w:line="240" w:lineRule="auto"/>
              <w:jc w:val="both"/>
              <w:rPr>
                <w:rFonts w:cs="Calibri"/>
                <w:lang w:val="fr-FR"/>
              </w:rPr>
            </w:pPr>
          </w:p>
          <w:p w14:paraId="26D1AB70" w14:textId="77777777" w:rsidR="003527B0" w:rsidRPr="00046FF8" w:rsidRDefault="003527B0" w:rsidP="00046FF8">
            <w:pPr>
              <w:spacing w:after="0" w:line="240" w:lineRule="auto"/>
              <w:jc w:val="both"/>
              <w:rPr>
                <w:rFonts w:cs="Calibri"/>
                <w:lang w:val="fr-FR"/>
              </w:rPr>
            </w:pPr>
            <w:r w:rsidRPr="00046FF8">
              <w:rPr>
                <w:rFonts w:cs="Calibri"/>
                <w:lang w:val="fr-FR"/>
              </w:rPr>
              <w:t>La même observation vaut pour les articles 5:20, 7:24, 7:25 et 7:26 en projet.</w:t>
            </w:r>
          </w:p>
          <w:p w14:paraId="54AABA08" w14:textId="77777777" w:rsidR="003527B0" w:rsidRPr="00046FF8" w:rsidRDefault="003527B0" w:rsidP="00046FF8">
            <w:pPr>
              <w:spacing w:after="0" w:line="240" w:lineRule="auto"/>
              <w:jc w:val="both"/>
              <w:rPr>
                <w:rFonts w:cs="Calibri"/>
                <w:lang w:val="fr-FR"/>
              </w:rPr>
            </w:pPr>
          </w:p>
          <w:p w14:paraId="34AFB6A6" w14:textId="77777777" w:rsidR="003527B0" w:rsidRPr="00046FF8" w:rsidRDefault="003527B0" w:rsidP="00046FF8">
            <w:pPr>
              <w:spacing w:after="0" w:line="240" w:lineRule="auto"/>
              <w:jc w:val="both"/>
              <w:rPr>
                <w:rFonts w:cs="Calibri"/>
                <w:lang w:val="fr-FR"/>
              </w:rPr>
            </w:pPr>
            <w:r w:rsidRPr="00046FF8">
              <w:rPr>
                <w:rFonts w:cs="Calibri"/>
                <w:lang w:val="fr-FR"/>
              </w:rPr>
              <w:t>2.</w:t>
            </w:r>
            <w:r w:rsidRPr="00046FF8">
              <w:rPr>
                <w:rFonts w:cs="Calibri"/>
                <w:lang w:val="fr-FR"/>
              </w:rPr>
              <w:tab/>
              <w:t>L’alinéa 1er du paragraphe 1er concerne tous les titres nominatifs émis par la société, alors que l’alinéa 2 de ce paragraphe ne concerne que les actions. Le paragraphe 2 vise ensuite les titres donnant accès à des actions et l’article 5:20 en projet vise les obligations.</w:t>
            </w:r>
          </w:p>
          <w:p w14:paraId="53FECDCD" w14:textId="77777777" w:rsidR="003527B0" w:rsidRPr="00046FF8" w:rsidRDefault="003527B0" w:rsidP="00046FF8">
            <w:pPr>
              <w:spacing w:after="0" w:line="240" w:lineRule="auto"/>
              <w:jc w:val="both"/>
              <w:rPr>
                <w:rFonts w:cs="Calibri"/>
                <w:lang w:val="fr-FR"/>
              </w:rPr>
            </w:pPr>
          </w:p>
          <w:p w14:paraId="712A26F5" w14:textId="77777777" w:rsidR="003527B0" w:rsidRPr="00046FF8" w:rsidRDefault="003527B0" w:rsidP="00046FF8">
            <w:pPr>
              <w:spacing w:after="0" w:line="240" w:lineRule="auto"/>
              <w:jc w:val="both"/>
              <w:rPr>
                <w:rFonts w:cs="Calibri"/>
                <w:lang w:val="fr-FR"/>
              </w:rPr>
            </w:pPr>
            <w:r w:rsidRPr="00046FF8">
              <w:rPr>
                <w:rFonts w:cs="Calibri"/>
                <w:lang w:val="fr-FR"/>
              </w:rPr>
              <w:t>Cette structure confuse, qui rend le dispositif difficilement compréhensible, voire incohérent, sera revue. Il est également renvoyé à l’observation n° 5 ci-dessous.</w:t>
            </w:r>
          </w:p>
          <w:p w14:paraId="79257E03" w14:textId="77777777" w:rsidR="003527B0" w:rsidRPr="00046FF8" w:rsidRDefault="003527B0" w:rsidP="00046FF8">
            <w:pPr>
              <w:spacing w:after="0" w:line="240" w:lineRule="auto"/>
              <w:jc w:val="both"/>
              <w:rPr>
                <w:rFonts w:cs="Calibri"/>
                <w:lang w:val="fr-FR"/>
              </w:rPr>
            </w:pPr>
          </w:p>
          <w:p w14:paraId="2E60206B" w14:textId="77777777" w:rsidR="003527B0" w:rsidRPr="00046FF8" w:rsidRDefault="003527B0" w:rsidP="00046FF8">
            <w:pPr>
              <w:spacing w:after="0" w:line="240" w:lineRule="auto"/>
              <w:jc w:val="both"/>
              <w:rPr>
                <w:rFonts w:cs="Calibri"/>
                <w:lang w:val="fr-FR"/>
              </w:rPr>
            </w:pPr>
            <w:r w:rsidRPr="00046FF8">
              <w:rPr>
                <w:rFonts w:cs="Calibri"/>
                <w:lang w:val="fr-FR"/>
              </w:rPr>
              <w:t>3.</w:t>
            </w:r>
            <w:r w:rsidRPr="00046FF8">
              <w:rPr>
                <w:rFonts w:cs="Calibri"/>
                <w:lang w:val="fr-FR"/>
              </w:rPr>
              <w:tab/>
              <w:t>S’agissant du paragraphe 1er, alinéa 2, 5°, il y a lieu d’observer ce qui suit.</w:t>
            </w:r>
          </w:p>
          <w:p w14:paraId="38C86EEE" w14:textId="77777777" w:rsidR="003527B0" w:rsidRPr="00046FF8" w:rsidRDefault="003527B0" w:rsidP="00046FF8">
            <w:pPr>
              <w:spacing w:after="0" w:line="240" w:lineRule="auto"/>
              <w:jc w:val="both"/>
              <w:rPr>
                <w:rFonts w:cs="Calibri"/>
                <w:lang w:val="fr-FR"/>
              </w:rPr>
            </w:pPr>
          </w:p>
          <w:p w14:paraId="7C5473ED" w14:textId="77777777" w:rsidR="003527B0" w:rsidRDefault="003527B0" w:rsidP="00046FF8">
            <w:pPr>
              <w:spacing w:after="0" w:line="240" w:lineRule="auto"/>
              <w:jc w:val="both"/>
              <w:rPr>
                <w:rFonts w:cs="Calibri"/>
                <w:lang w:val="fr-FR"/>
              </w:rPr>
            </w:pPr>
            <w:r w:rsidRPr="00046FF8">
              <w:rPr>
                <w:rFonts w:cs="Calibri"/>
                <w:lang w:val="fr-FR"/>
              </w:rPr>
              <w:t>D’une part, s’il peut être utile d’informer la société et les autres actionnaires de restrictions à la cessibilité des actions résultant de conventions entre actionnaires, il n’en demeure pas moins que les actionnaires sont supposés connaître les statuts de leur société. Il convient donc d’éviter qu’un cédant ou un cessionnaire puisse faire valoir une ignorance légitime ou une inopposabilité de la restriction en cas d’absence de mention de cette restriction dans le registre. La disposition gagnera</w:t>
            </w:r>
            <w:r>
              <w:rPr>
                <w:rFonts w:cs="Calibri"/>
                <w:lang w:val="fr-FR"/>
              </w:rPr>
              <w:t>it à le préciser explicitement.</w:t>
            </w:r>
          </w:p>
          <w:p w14:paraId="4EF058A3" w14:textId="77777777" w:rsidR="003527B0" w:rsidRPr="00046FF8" w:rsidRDefault="003527B0" w:rsidP="00046FF8">
            <w:pPr>
              <w:spacing w:after="0" w:line="240" w:lineRule="auto"/>
              <w:jc w:val="both"/>
              <w:rPr>
                <w:rFonts w:cs="Calibri"/>
                <w:lang w:val="fr-FR"/>
              </w:rPr>
            </w:pPr>
          </w:p>
          <w:p w14:paraId="758543B2" w14:textId="77777777" w:rsidR="003527B0" w:rsidRPr="00046FF8" w:rsidRDefault="003527B0" w:rsidP="00046FF8">
            <w:pPr>
              <w:spacing w:after="0" w:line="240" w:lineRule="auto"/>
              <w:jc w:val="both"/>
              <w:rPr>
                <w:rFonts w:cs="Calibri"/>
                <w:lang w:val="fr-FR"/>
              </w:rPr>
            </w:pPr>
            <w:r w:rsidRPr="00046FF8">
              <w:rPr>
                <w:rFonts w:cs="Calibri"/>
                <w:lang w:val="fr-FR"/>
              </w:rPr>
              <w:t>D’autre part, le champ d’application de la disposition pourrait utilement être élargi pour viser d’autres restrictions à la cessibilité, par exemple celles résultant d’une mise en gage, qui est certes une convention mais pas « entre actionnaires ». En conséquence, le texte sera remplacé par les mots « si une des parties le demande, les restrictions relatives à la cessibilité des actions résultant de conventions ».</w:t>
            </w:r>
          </w:p>
          <w:p w14:paraId="148305BE" w14:textId="77777777" w:rsidR="003527B0" w:rsidRPr="00046FF8" w:rsidRDefault="003527B0" w:rsidP="00046FF8">
            <w:pPr>
              <w:spacing w:after="0" w:line="240" w:lineRule="auto"/>
              <w:jc w:val="both"/>
              <w:rPr>
                <w:rFonts w:cs="Calibri"/>
                <w:lang w:val="fr-FR"/>
              </w:rPr>
            </w:pPr>
          </w:p>
          <w:p w14:paraId="01800A17" w14:textId="77777777" w:rsidR="003527B0" w:rsidRPr="00046FF8" w:rsidRDefault="003527B0" w:rsidP="00046FF8">
            <w:pPr>
              <w:spacing w:after="0" w:line="240" w:lineRule="auto"/>
              <w:jc w:val="both"/>
              <w:rPr>
                <w:rFonts w:cs="Calibri"/>
                <w:lang w:val="fr-FR"/>
              </w:rPr>
            </w:pPr>
            <w:r w:rsidRPr="00046FF8">
              <w:rPr>
                <w:rFonts w:cs="Calibri"/>
                <w:lang w:val="fr-FR"/>
              </w:rPr>
              <w:t>La même observation vaut pour l’article 7:24, § 1er, alinéa 2, 5°, en projet.</w:t>
            </w:r>
          </w:p>
          <w:p w14:paraId="280FD372" w14:textId="77777777" w:rsidR="003527B0" w:rsidRPr="00046FF8" w:rsidRDefault="003527B0" w:rsidP="00046FF8">
            <w:pPr>
              <w:spacing w:after="0" w:line="240" w:lineRule="auto"/>
              <w:jc w:val="both"/>
              <w:rPr>
                <w:rFonts w:cs="Calibri"/>
                <w:lang w:val="fr-FR"/>
              </w:rPr>
            </w:pPr>
          </w:p>
          <w:p w14:paraId="022F9403" w14:textId="77777777" w:rsidR="003527B0" w:rsidRPr="00046FF8" w:rsidRDefault="003527B0" w:rsidP="00046FF8">
            <w:pPr>
              <w:spacing w:after="0" w:line="240" w:lineRule="auto"/>
              <w:jc w:val="both"/>
              <w:rPr>
                <w:rFonts w:cs="Calibri"/>
                <w:lang w:val="fr-FR"/>
              </w:rPr>
            </w:pPr>
            <w:r w:rsidRPr="00046FF8">
              <w:rPr>
                <w:rFonts w:cs="Calibri"/>
                <w:lang w:val="fr-FR"/>
              </w:rPr>
              <w:t>4.</w:t>
            </w:r>
            <w:r w:rsidRPr="00046FF8">
              <w:rPr>
                <w:rFonts w:cs="Calibri"/>
                <w:lang w:val="fr-FR"/>
              </w:rPr>
              <w:tab/>
              <w:t>Au paragraphe 1er, alinéa 2, 6°, le renvoi à l’article 5:42, § 2, est peu compréhensible. Ne faut il pas renvoyer à l’article 5:42 dans son ensemble ?</w:t>
            </w:r>
          </w:p>
          <w:p w14:paraId="764DDCAA" w14:textId="77777777" w:rsidR="003527B0" w:rsidRPr="00046FF8" w:rsidRDefault="003527B0" w:rsidP="00046FF8">
            <w:pPr>
              <w:spacing w:after="0" w:line="240" w:lineRule="auto"/>
              <w:jc w:val="both"/>
              <w:rPr>
                <w:rFonts w:cs="Calibri"/>
                <w:lang w:val="fr-FR"/>
              </w:rPr>
            </w:pPr>
          </w:p>
          <w:p w14:paraId="24175658" w14:textId="77777777" w:rsidR="003527B0" w:rsidRPr="00046FF8" w:rsidRDefault="003527B0" w:rsidP="00046FF8">
            <w:pPr>
              <w:spacing w:after="0" w:line="240" w:lineRule="auto"/>
              <w:jc w:val="both"/>
              <w:rPr>
                <w:rFonts w:cs="Calibri"/>
                <w:lang w:val="fr-FR"/>
              </w:rPr>
            </w:pPr>
            <w:r w:rsidRPr="00046FF8">
              <w:rPr>
                <w:rFonts w:cs="Calibri"/>
                <w:lang w:val="fr-FR"/>
              </w:rPr>
              <w:t>5.</w:t>
            </w:r>
            <w:r w:rsidRPr="00046FF8">
              <w:rPr>
                <w:rFonts w:cs="Calibri"/>
                <w:lang w:val="fr-FR"/>
              </w:rPr>
              <w:tab/>
              <w:t>Le paragraphe 1er, alinéa 3, devra tenir compte de l’hypothèse particulière de l’article 5:116, § 2.</w:t>
            </w:r>
          </w:p>
          <w:p w14:paraId="2E58220C" w14:textId="77777777" w:rsidR="003527B0" w:rsidRPr="00046FF8" w:rsidRDefault="003527B0" w:rsidP="00046FF8">
            <w:pPr>
              <w:spacing w:after="0" w:line="240" w:lineRule="auto"/>
              <w:jc w:val="both"/>
              <w:rPr>
                <w:rFonts w:cs="Calibri"/>
                <w:lang w:val="fr-FR"/>
              </w:rPr>
            </w:pPr>
          </w:p>
          <w:p w14:paraId="061EE30E" w14:textId="77777777" w:rsidR="003527B0" w:rsidRPr="00046FF8" w:rsidRDefault="003527B0" w:rsidP="00046FF8">
            <w:pPr>
              <w:spacing w:after="0" w:line="240" w:lineRule="auto"/>
              <w:jc w:val="both"/>
              <w:rPr>
                <w:rFonts w:cs="Calibri"/>
                <w:lang w:val="fr-FR"/>
              </w:rPr>
            </w:pPr>
            <w:r w:rsidRPr="00046FF8">
              <w:rPr>
                <w:rFonts w:cs="Calibri"/>
                <w:lang w:val="fr-FR"/>
              </w:rPr>
              <w:t>6.</w:t>
            </w:r>
            <w:r w:rsidRPr="00046FF8">
              <w:rPr>
                <w:rFonts w:cs="Calibri"/>
                <w:lang w:val="fr-FR"/>
              </w:rPr>
              <w:tab/>
              <w:t>Le paragraphe 2, première phrase, appelle les observations suivantes.</w:t>
            </w:r>
          </w:p>
          <w:p w14:paraId="69F94881" w14:textId="77777777" w:rsidR="003527B0" w:rsidRPr="00046FF8" w:rsidRDefault="003527B0" w:rsidP="00046FF8">
            <w:pPr>
              <w:spacing w:after="0" w:line="240" w:lineRule="auto"/>
              <w:jc w:val="both"/>
              <w:rPr>
                <w:rFonts w:cs="Calibri"/>
                <w:lang w:val="fr-FR"/>
              </w:rPr>
            </w:pPr>
          </w:p>
          <w:p w14:paraId="1B5F7474" w14:textId="77777777" w:rsidR="003527B0" w:rsidRPr="00046FF8" w:rsidRDefault="003527B0" w:rsidP="00046FF8">
            <w:pPr>
              <w:spacing w:after="0" w:line="240" w:lineRule="auto"/>
              <w:jc w:val="both"/>
              <w:rPr>
                <w:rFonts w:cs="Calibri"/>
                <w:lang w:val="fr-FR"/>
              </w:rPr>
            </w:pPr>
            <w:r w:rsidRPr="00046FF8">
              <w:rPr>
                <w:rFonts w:cs="Calibri"/>
                <w:lang w:val="fr-FR"/>
              </w:rPr>
              <w:t>D’une part, cet alinéa semble répéter la première phrase du paragraphe 1er. Dans cette mesure, il est inutile et doit être omis.</w:t>
            </w:r>
          </w:p>
          <w:p w14:paraId="380335B9" w14:textId="77777777" w:rsidR="003527B0" w:rsidRPr="00046FF8" w:rsidRDefault="003527B0" w:rsidP="00046FF8">
            <w:pPr>
              <w:spacing w:after="0" w:line="240" w:lineRule="auto"/>
              <w:jc w:val="both"/>
              <w:rPr>
                <w:rFonts w:cs="Calibri"/>
                <w:lang w:val="fr-FR"/>
              </w:rPr>
            </w:pPr>
          </w:p>
          <w:p w14:paraId="6E30BACB" w14:textId="77777777" w:rsidR="003527B0" w:rsidRPr="00046FF8" w:rsidRDefault="003527B0" w:rsidP="00046FF8">
            <w:pPr>
              <w:spacing w:after="0" w:line="240" w:lineRule="auto"/>
              <w:jc w:val="both"/>
              <w:rPr>
                <w:rFonts w:cs="Calibri"/>
                <w:lang w:val="fr-FR"/>
              </w:rPr>
            </w:pPr>
            <w:r w:rsidRPr="00046FF8">
              <w:rPr>
                <w:rFonts w:cs="Calibri"/>
                <w:lang w:val="fr-FR"/>
              </w:rPr>
              <w:t>Mais, d’autre part, son champ d’application n’est pas, contrairement à celui du paragraphe 1er, première phrase, limité aux titres nominatifs. Or, la SRL pourra émettre des titres dématérialisés (article 5:18, alinéa 1er, en projet), voire au porteur (article 5:18, alinéa 2, en projet). On voit mal, cependant, comment une société pourrait établir un registre des titres dématérialisés ou au porteur. Le dispositif sera adapté.</w:t>
            </w:r>
          </w:p>
          <w:p w14:paraId="5E7AED9D" w14:textId="77777777" w:rsidR="003527B0" w:rsidRPr="00046FF8" w:rsidRDefault="003527B0" w:rsidP="00046FF8">
            <w:pPr>
              <w:spacing w:after="0" w:line="240" w:lineRule="auto"/>
              <w:jc w:val="both"/>
              <w:rPr>
                <w:rFonts w:cs="Calibri"/>
                <w:lang w:val="fr-FR"/>
              </w:rPr>
            </w:pPr>
          </w:p>
          <w:p w14:paraId="2CFA8138" w14:textId="77777777" w:rsidR="003527B0" w:rsidRPr="00046FF8" w:rsidRDefault="003527B0" w:rsidP="00046FF8">
            <w:pPr>
              <w:spacing w:after="0" w:line="240" w:lineRule="auto"/>
              <w:jc w:val="both"/>
              <w:rPr>
                <w:rFonts w:cs="Calibri"/>
                <w:lang w:val="fr-FR"/>
              </w:rPr>
            </w:pPr>
            <w:r w:rsidRPr="00046FF8">
              <w:rPr>
                <w:rFonts w:cs="Calibri"/>
                <w:lang w:val="fr-FR"/>
              </w:rPr>
              <w:t>La même observation vaut pour l’article 7:24, § 2, alinéa 1er, en projet.</w:t>
            </w:r>
          </w:p>
          <w:p w14:paraId="213C0B60" w14:textId="77777777" w:rsidR="003527B0" w:rsidRPr="00046FF8" w:rsidRDefault="003527B0" w:rsidP="00046FF8">
            <w:pPr>
              <w:spacing w:after="0" w:line="240" w:lineRule="auto"/>
              <w:jc w:val="both"/>
              <w:rPr>
                <w:rFonts w:cs="Calibri"/>
                <w:lang w:val="fr-FR"/>
              </w:rPr>
            </w:pPr>
          </w:p>
          <w:p w14:paraId="178D2709" w14:textId="77777777" w:rsidR="003527B0" w:rsidRPr="00046FF8" w:rsidRDefault="003527B0" w:rsidP="00046FF8">
            <w:pPr>
              <w:spacing w:after="0" w:line="240" w:lineRule="auto"/>
              <w:jc w:val="both"/>
              <w:rPr>
                <w:rFonts w:cs="Calibri"/>
                <w:lang w:val="fr-FR"/>
              </w:rPr>
            </w:pPr>
            <w:r w:rsidRPr="00046FF8">
              <w:rPr>
                <w:rFonts w:cs="Calibri"/>
                <w:lang w:val="fr-FR"/>
              </w:rPr>
              <w:t>7.</w:t>
            </w:r>
            <w:r w:rsidRPr="00046FF8">
              <w:rPr>
                <w:rFonts w:cs="Calibri"/>
                <w:lang w:val="fr-FR"/>
              </w:rPr>
              <w:tab/>
              <w:t>Au paragraphe 2, deuxième phrase, à supposer que ce paragraphe subsiste, il faut se demander si l’exception visant le paragraphe 1er, 4°, ne doit pas être étendue au 7° de ce paragraphe.</w:t>
            </w:r>
          </w:p>
          <w:p w14:paraId="1D1F50D9" w14:textId="77777777" w:rsidR="003527B0" w:rsidRPr="00046FF8" w:rsidRDefault="003527B0" w:rsidP="00046FF8">
            <w:pPr>
              <w:spacing w:after="0" w:line="240" w:lineRule="auto"/>
              <w:jc w:val="both"/>
              <w:rPr>
                <w:rFonts w:cs="Calibri"/>
                <w:lang w:val="fr-FR"/>
              </w:rPr>
            </w:pPr>
          </w:p>
          <w:p w14:paraId="556D60BC" w14:textId="77777777" w:rsidR="003527B0" w:rsidRPr="00046FF8" w:rsidRDefault="003527B0" w:rsidP="00046FF8">
            <w:pPr>
              <w:spacing w:after="0" w:line="240" w:lineRule="auto"/>
              <w:jc w:val="both"/>
              <w:rPr>
                <w:rFonts w:cs="Calibri"/>
                <w:lang w:val="fr-FR"/>
              </w:rPr>
            </w:pPr>
            <w:r w:rsidRPr="00046FF8">
              <w:rPr>
                <w:rFonts w:cs="Calibri"/>
                <w:lang w:val="fr-FR"/>
              </w:rPr>
              <w:t>La même observation vaut pour l’article 7:24, § 2, alinéa 2, en projet.</w:t>
            </w:r>
          </w:p>
          <w:p w14:paraId="6024E636" w14:textId="77777777" w:rsidR="003527B0" w:rsidRPr="00046FF8" w:rsidRDefault="003527B0" w:rsidP="00046FF8">
            <w:pPr>
              <w:spacing w:after="0" w:line="240" w:lineRule="auto"/>
              <w:jc w:val="both"/>
              <w:rPr>
                <w:rFonts w:cs="Calibri"/>
                <w:lang w:val="fr-FR"/>
              </w:rPr>
            </w:pPr>
          </w:p>
          <w:p w14:paraId="02A07E43" w14:textId="77777777" w:rsidR="003527B0" w:rsidRPr="00046FF8" w:rsidRDefault="003527B0" w:rsidP="00046FF8">
            <w:pPr>
              <w:spacing w:after="0" w:line="240" w:lineRule="auto"/>
              <w:jc w:val="both"/>
              <w:rPr>
                <w:rFonts w:cs="Calibri"/>
                <w:lang w:val="fr-FR"/>
              </w:rPr>
            </w:pPr>
            <w:r w:rsidRPr="00046FF8">
              <w:rPr>
                <w:rFonts w:cs="Calibri"/>
                <w:lang w:val="fr-FR"/>
              </w:rPr>
              <w:t>Une observation analogue vaut pour les articles 7:24 à 7:26 en projet.</w:t>
            </w:r>
          </w:p>
        </w:tc>
      </w:tr>
    </w:tbl>
    <w:p w14:paraId="60D6627D" w14:textId="77777777" w:rsidR="001203BA" w:rsidRPr="00046FF8" w:rsidRDefault="001203BA" w:rsidP="001203BA">
      <w:pPr>
        <w:rPr>
          <w:lang w:val="fr-FR"/>
        </w:rPr>
      </w:pPr>
    </w:p>
    <w:p w14:paraId="1B8D34A6" w14:textId="77777777" w:rsidR="00A820D7" w:rsidRPr="00046FF8" w:rsidRDefault="00A820D7">
      <w:pPr>
        <w:rPr>
          <w:lang w:val="fr-FR"/>
        </w:rPr>
      </w:pPr>
    </w:p>
    <w:sectPr w:rsidR="00A820D7" w:rsidRPr="00046FF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46FF8"/>
    <w:rsid w:val="00050A96"/>
    <w:rsid w:val="000552D0"/>
    <w:rsid w:val="00064257"/>
    <w:rsid w:val="000805A3"/>
    <w:rsid w:val="00081D9C"/>
    <w:rsid w:val="00082B07"/>
    <w:rsid w:val="00084401"/>
    <w:rsid w:val="00096067"/>
    <w:rsid w:val="000A010D"/>
    <w:rsid w:val="000A688F"/>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337A0"/>
    <w:rsid w:val="002414B9"/>
    <w:rsid w:val="00254D85"/>
    <w:rsid w:val="00262FAA"/>
    <w:rsid w:val="0026584A"/>
    <w:rsid w:val="00274C37"/>
    <w:rsid w:val="002805B2"/>
    <w:rsid w:val="0029665A"/>
    <w:rsid w:val="00297FF6"/>
    <w:rsid w:val="002A5831"/>
    <w:rsid w:val="002B665F"/>
    <w:rsid w:val="002C1E0B"/>
    <w:rsid w:val="002D2CD0"/>
    <w:rsid w:val="002F7950"/>
    <w:rsid w:val="00300B84"/>
    <w:rsid w:val="00306A19"/>
    <w:rsid w:val="00307218"/>
    <w:rsid w:val="00315433"/>
    <w:rsid w:val="00321B4D"/>
    <w:rsid w:val="003342CF"/>
    <w:rsid w:val="003527B0"/>
    <w:rsid w:val="00357D30"/>
    <w:rsid w:val="003604AA"/>
    <w:rsid w:val="00367502"/>
    <w:rsid w:val="003831C0"/>
    <w:rsid w:val="003875BE"/>
    <w:rsid w:val="00397239"/>
    <w:rsid w:val="003A1C6D"/>
    <w:rsid w:val="003A29A4"/>
    <w:rsid w:val="003A3D34"/>
    <w:rsid w:val="003A7991"/>
    <w:rsid w:val="003B5A5B"/>
    <w:rsid w:val="003D187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C6DC2"/>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0505B"/>
    <w:rsid w:val="00C162B3"/>
    <w:rsid w:val="00C26553"/>
    <w:rsid w:val="00C41D89"/>
    <w:rsid w:val="00C4686A"/>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B9A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7628</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35</cp:revision>
  <dcterms:created xsi:type="dcterms:W3CDTF">2019-10-26T21:04:00Z</dcterms:created>
  <dcterms:modified xsi:type="dcterms:W3CDTF">2021-08-26T15:38:00Z</dcterms:modified>
</cp:coreProperties>
</file>