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76DE9EA1" w14:textId="77777777" w:rsidTr="00597CC3">
        <w:tc>
          <w:tcPr>
            <w:tcW w:w="2122" w:type="dxa"/>
          </w:tcPr>
          <w:p w14:paraId="4A0044E3" w14:textId="77777777" w:rsidR="001203BA" w:rsidRPr="00B07AC9" w:rsidRDefault="001203BA" w:rsidP="00F27562">
            <w:pPr>
              <w:rPr>
                <w:b/>
                <w:sz w:val="32"/>
                <w:szCs w:val="32"/>
                <w:lang w:val="nl-BE"/>
              </w:rPr>
            </w:pPr>
            <w:r w:rsidRPr="00B07AC9">
              <w:rPr>
                <w:b/>
                <w:sz w:val="32"/>
                <w:szCs w:val="32"/>
                <w:lang w:val="nl-BE"/>
              </w:rPr>
              <w:t xml:space="preserve">ARTIKEL </w:t>
            </w:r>
            <w:r w:rsidR="00CD0183">
              <w:rPr>
                <w:b/>
                <w:sz w:val="32"/>
                <w:szCs w:val="32"/>
                <w:lang w:val="nl-BE"/>
              </w:rPr>
              <w:t>5:44</w:t>
            </w:r>
          </w:p>
        </w:tc>
        <w:tc>
          <w:tcPr>
            <w:tcW w:w="11623" w:type="dxa"/>
            <w:gridSpan w:val="2"/>
            <w:shd w:val="clear" w:color="auto" w:fill="auto"/>
          </w:tcPr>
          <w:p w14:paraId="075F878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F81DD1D" w14:textId="77777777" w:rsidTr="00597CC3">
        <w:tc>
          <w:tcPr>
            <w:tcW w:w="2122" w:type="dxa"/>
          </w:tcPr>
          <w:p w14:paraId="557871DC" w14:textId="77777777" w:rsidR="001203BA" w:rsidRPr="00B07AC9" w:rsidRDefault="001203BA" w:rsidP="007D7A6B">
            <w:pPr>
              <w:rPr>
                <w:b/>
                <w:sz w:val="32"/>
                <w:szCs w:val="32"/>
                <w:lang w:val="nl-BE"/>
              </w:rPr>
            </w:pPr>
          </w:p>
        </w:tc>
        <w:tc>
          <w:tcPr>
            <w:tcW w:w="11623" w:type="dxa"/>
            <w:gridSpan w:val="2"/>
            <w:shd w:val="clear" w:color="auto" w:fill="auto"/>
          </w:tcPr>
          <w:p w14:paraId="08B4EA0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435A2" w14:paraId="60B280DD" w14:textId="77777777" w:rsidTr="0054514E">
        <w:trPr>
          <w:trHeight w:val="945"/>
        </w:trPr>
        <w:tc>
          <w:tcPr>
            <w:tcW w:w="2122" w:type="dxa"/>
          </w:tcPr>
          <w:p w14:paraId="540C7694"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7D2DEBD2" w14:textId="77777777" w:rsidR="00CD0183" w:rsidRDefault="00CD0183" w:rsidP="00CD0183">
            <w:pPr>
              <w:spacing w:after="0" w:line="240" w:lineRule="auto"/>
              <w:jc w:val="both"/>
              <w:rPr>
                <w:rFonts w:cs="Calibri"/>
                <w:lang w:val="nl-BE"/>
              </w:rPr>
            </w:pPr>
            <w:r w:rsidRPr="007F6985">
              <w:rPr>
                <w:rFonts w:cs="Calibri"/>
                <w:lang w:val="nl-BE"/>
              </w:rPr>
              <w:t>Met de jaarrekening wordt een lijst neergelegd, overeenkomstig de artikelen 3:10 en 3:12, met opgave van:</w:t>
            </w:r>
          </w:p>
          <w:p w14:paraId="65BCD23F" w14:textId="77777777" w:rsidR="00CD0183" w:rsidRDefault="00CD0183" w:rsidP="00CD0183">
            <w:pPr>
              <w:spacing w:after="0" w:line="240" w:lineRule="auto"/>
              <w:jc w:val="both"/>
              <w:rPr>
                <w:rFonts w:cs="Calibri"/>
                <w:lang w:val="nl-BE"/>
              </w:rPr>
            </w:pPr>
          </w:p>
          <w:p w14:paraId="17DA9793" w14:textId="77777777" w:rsidR="00CD0183" w:rsidRDefault="00CD0183" w:rsidP="00CD0183">
            <w:pPr>
              <w:spacing w:after="0" w:line="240" w:lineRule="auto"/>
              <w:jc w:val="both"/>
              <w:rPr>
                <w:rFonts w:cs="Calibri"/>
                <w:lang w:val="nl-BE"/>
              </w:rPr>
            </w:pPr>
            <w:r w:rsidRPr="008721E6">
              <w:rPr>
                <w:rFonts w:cs="Calibri"/>
                <w:lang w:val="nl-BE"/>
              </w:rPr>
              <w:t xml:space="preserve">  </w:t>
            </w:r>
            <w:r w:rsidRPr="007F6985">
              <w:rPr>
                <w:rFonts w:cs="Calibri"/>
                <w:lang w:val="nl-BE"/>
              </w:rPr>
              <w:t>1° het aantal geplaatste aandelen;</w:t>
            </w:r>
          </w:p>
          <w:p w14:paraId="37F5B054" w14:textId="77777777" w:rsidR="00CD0183" w:rsidRDefault="00CD0183" w:rsidP="00CD0183">
            <w:pPr>
              <w:spacing w:after="0" w:line="240" w:lineRule="auto"/>
              <w:jc w:val="both"/>
              <w:rPr>
                <w:rFonts w:cs="Calibri"/>
                <w:lang w:val="nl-BE"/>
              </w:rPr>
            </w:pPr>
          </w:p>
          <w:p w14:paraId="677A5CC2" w14:textId="77777777" w:rsidR="00CD0183" w:rsidRDefault="00CD0183" w:rsidP="00CD0183">
            <w:pPr>
              <w:spacing w:after="0" w:line="240" w:lineRule="auto"/>
              <w:jc w:val="both"/>
              <w:rPr>
                <w:rFonts w:cs="Calibri"/>
                <w:lang w:val="nl-BE"/>
              </w:rPr>
            </w:pPr>
            <w:r w:rsidRPr="008721E6">
              <w:rPr>
                <w:rFonts w:cs="Calibri"/>
                <w:lang w:val="nl-BE"/>
              </w:rPr>
              <w:t xml:space="preserve">  </w:t>
            </w:r>
            <w:r w:rsidRPr="007F6985">
              <w:rPr>
                <w:rFonts w:cs="Calibri"/>
                <w:lang w:val="nl-BE"/>
              </w:rPr>
              <w:t>2° de gedane stortingen;</w:t>
            </w:r>
          </w:p>
          <w:p w14:paraId="5C455AF0" w14:textId="77777777" w:rsidR="00CD0183" w:rsidRDefault="00CD0183" w:rsidP="00CD0183">
            <w:pPr>
              <w:spacing w:after="0" w:line="240" w:lineRule="auto"/>
              <w:jc w:val="both"/>
              <w:rPr>
                <w:rFonts w:cs="Calibri"/>
                <w:lang w:val="nl-BE"/>
              </w:rPr>
            </w:pPr>
          </w:p>
          <w:p w14:paraId="6BBE8892" w14:textId="77777777" w:rsidR="00E34FF7" w:rsidRPr="00563C64" w:rsidRDefault="00CD0183" w:rsidP="00D5409F">
            <w:pPr>
              <w:spacing w:after="0" w:line="240" w:lineRule="auto"/>
              <w:jc w:val="both"/>
              <w:rPr>
                <w:rFonts w:cs="Calibri"/>
                <w:lang w:val="nl-BE"/>
              </w:rPr>
            </w:pPr>
            <w:r w:rsidRPr="007F6985">
              <w:rPr>
                <w:rFonts w:cs="Calibri"/>
                <w:lang w:val="nl-BE"/>
              </w:rPr>
              <w:t xml:space="preserve">  3° de lijst van de aandeelhouders die hun aandelen niet hebben volgestort, met vermelding van het bedrag dat zij nog zijn verschuldigd.</w:t>
            </w:r>
          </w:p>
        </w:tc>
        <w:tc>
          <w:tcPr>
            <w:tcW w:w="5953" w:type="dxa"/>
            <w:shd w:val="clear" w:color="auto" w:fill="auto"/>
          </w:tcPr>
          <w:p w14:paraId="078A2BA6" w14:textId="77777777" w:rsidR="00CD0183" w:rsidRPr="007F6985" w:rsidRDefault="00CD0183" w:rsidP="00CD0183">
            <w:pPr>
              <w:spacing w:after="0" w:line="240" w:lineRule="auto"/>
              <w:jc w:val="both"/>
              <w:rPr>
                <w:rFonts w:cs="Calibri"/>
                <w:lang w:val="fr-BE"/>
              </w:rPr>
            </w:pPr>
            <w:r w:rsidRPr="007F6985">
              <w:rPr>
                <w:rFonts w:cs="Calibri"/>
                <w:lang w:val="fr-BE"/>
              </w:rPr>
              <w:t>Est déposée avec les comptes annuels, conformément aux articles 3:10</w:t>
            </w:r>
            <w:r>
              <w:rPr>
                <w:rFonts w:cs="Calibri"/>
                <w:lang w:val="fr-BE"/>
              </w:rPr>
              <w:t xml:space="preserve"> et 3:12, une liste qui indique</w:t>
            </w:r>
            <w:r w:rsidRPr="007F6985">
              <w:rPr>
                <w:rFonts w:cs="Calibri"/>
                <w:lang w:val="fr-BE"/>
              </w:rPr>
              <w:t>:</w:t>
            </w:r>
          </w:p>
          <w:p w14:paraId="5AB93447" w14:textId="77777777" w:rsidR="00CD0183" w:rsidRPr="007F6985" w:rsidRDefault="00CD0183" w:rsidP="00CD0183">
            <w:pPr>
              <w:spacing w:after="0" w:line="240" w:lineRule="auto"/>
              <w:jc w:val="both"/>
              <w:rPr>
                <w:rFonts w:cs="Calibri"/>
                <w:lang w:val="fr-BE"/>
              </w:rPr>
            </w:pPr>
          </w:p>
          <w:p w14:paraId="0E1771BF" w14:textId="77777777" w:rsidR="00CD0183" w:rsidRPr="007F6985" w:rsidRDefault="00CD0183" w:rsidP="00CD0183">
            <w:pPr>
              <w:spacing w:after="0" w:line="240" w:lineRule="auto"/>
              <w:jc w:val="both"/>
              <w:rPr>
                <w:rFonts w:cs="Calibri"/>
                <w:lang w:val="fr-BE"/>
              </w:rPr>
            </w:pPr>
            <w:r w:rsidRPr="007F6985">
              <w:rPr>
                <w:rFonts w:cs="Calibri"/>
                <w:lang w:val="fr-BE"/>
              </w:rPr>
              <w:t xml:space="preserve">  1°</w:t>
            </w:r>
            <w:r w:rsidR="002564ED">
              <w:rPr>
                <w:rFonts w:cs="Calibri"/>
                <w:lang w:val="fr-BE"/>
              </w:rPr>
              <w:t xml:space="preserve"> le nombre d'</w:t>
            </w:r>
            <w:r>
              <w:rPr>
                <w:rFonts w:cs="Calibri"/>
                <w:lang w:val="fr-BE"/>
              </w:rPr>
              <w:t>actions souscrites</w:t>
            </w:r>
            <w:r w:rsidRPr="007F6985">
              <w:rPr>
                <w:rFonts w:cs="Calibri"/>
                <w:lang w:val="fr-BE"/>
              </w:rPr>
              <w:t>;</w:t>
            </w:r>
          </w:p>
          <w:p w14:paraId="347359B8" w14:textId="77777777" w:rsidR="00CD0183" w:rsidRDefault="00CD0183" w:rsidP="00CD0183">
            <w:pPr>
              <w:spacing w:after="0" w:line="240" w:lineRule="auto"/>
              <w:jc w:val="both"/>
              <w:rPr>
                <w:rFonts w:cs="Calibri"/>
                <w:lang w:val="fr-BE"/>
              </w:rPr>
            </w:pPr>
          </w:p>
          <w:p w14:paraId="4845BD90" w14:textId="77777777" w:rsidR="00CD0183" w:rsidRPr="008721E6" w:rsidRDefault="00CD0183" w:rsidP="00CD0183">
            <w:pPr>
              <w:spacing w:after="0" w:line="240" w:lineRule="auto"/>
              <w:jc w:val="both"/>
              <w:rPr>
                <w:rFonts w:cs="Calibri"/>
                <w:lang w:val="fr-BE"/>
              </w:rPr>
            </w:pPr>
            <w:r w:rsidRPr="008721E6">
              <w:rPr>
                <w:rFonts w:cs="Calibri"/>
                <w:lang w:val="fr-BE"/>
              </w:rPr>
              <w:t xml:space="preserve">  2° les versements effectués;</w:t>
            </w:r>
          </w:p>
          <w:p w14:paraId="36860F5C" w14:textId="77777777" w:rsidR="00CD0183" w:rsidRPr="008721E6" w:rsidRDefault="00CD0183" w:rsidP="00CD0183">
            <w:pPr>
              <w:spacing w:after="0" w:line="240" w:lineRule="auto"/>
              <w:jc w:val="both"/>
              <w:rPr>
                <w:rFonts w:cs="Calibri"/>
                <w:lang w:val="fr-BE"/>
              </w:rPr>
            </w:pPr>
          </w:p>
          <w:p w14:paraId="5008124A" w14:textId="77777777" w:rsidR="00E34FF7" w:rsidRPr="0054514E" w:rsidRDefault="00CD0183" w:rsidP="00D5409F">
            <w:pPr>
              <w:spacing w:after="0" w:line="240" w:lineRule="auto"/>
              <w:jc w:val="both"/>
              <w:rPr>
                <w:rFonts w:cs="Calibri"/>
                <w:lang w:val="fr-BE"/>
              </w:rPr>
            </w:pPr>
            <w:r w:rsidRPr="007F6985">
              <w:rPr>
                <w:rFonts w:cs="Calibri"/>
                <w:lang w:val="fr-BE"/>
              </w:rPr>
              <w:t xml:space="preserve">  3° la liste des actionnaires qui n'ont pas entièrement libéré leurs actions, avec la mention du montant dont ils sont encore redevables.</w:t>
            </w:r>
          </w:p>
        </w:tc>
      </w:tr>
      <w:tr w:rsidR="002564ED" w:rsidRPr="00B435A2" w14:paraId="7730CA04" w14:textId="77777777" w:rsidTr="0054514E">
        <w:trPr>
          <w:trHeight w:val="945"/>
        </w:trPr>
        <w:tc>
          <w:tcPr>
            <w:tcW w:w="2122" w:type="dxa"/>
          </w:tcPr>
          <w:p w14:paraId="3B069246" w14:textId="77777777" w:rsidR="002564ED" w:rsidRDefault="002564ED" w:rsidP="00887026">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0626682A" w14:textId="77777777" w:rsidR="002564ED" w:rsidRDefault="002564ED" w:rsidP="00887026">
            <w:pPr>
              <w:spacing w:after="0" w:line="240" w:lineRule="auto"/>
              <w:jc w:val="both"/>
              <w:rPr>
                <w:rFonts w:cs="Calibri"/>
                <w:lang w:val="nl-BE"/>
              </w:rPr>
            </w:pPr>
            <w:r w:rsidRPr="00CB2871">
              <w:rPr>
                <w:rFonts w:cs="Calibri"/>
                <w:lang w:val="nl-BE"/>
              </w:rPr>
              <w:t>Art. 5:44. Met de jaarrekening wordt een lijst neergelegd, overeenkomstig de artikelen 3:10 en 3:12, met opgave van:</w:t>
            </w:r>
          </w:p>
          <w:p w14:paraId="0A76D9D8" w14:textId="77777777" w:rsidR="002564ED" w:rsidRPr="00CB2871" w:rsidRDefault="002564ED" w:rsidP="00887026">
            <w:pPr>
              <w:spacing w:after="0" w:line="240" w:lineRule="auto"/>
              <w:jc w:val="both"/>
              <w:rPr>
                <w:rFonts w:cs="Calibri"/>
                <w:lang w:val="nl-BE"/>
              </w:rPr>
            </w:pPr>
          </w:p>
          <w:p w14:paraId="0C8FEAFE" w14:textId="77777777" w:rsidR="002564ED" w:rsidRDefault="002564ED" w:rsidP="00887026">
            <w:pPr>
              <w:spacing w:after="0" w:line="240" w:lineRule="auto"/>
              <w:jc w:val="both"/>
              <w:rPr>
                <w:rFonts w:cs="Calibri"/>
                <w:lang w:val="nl-BE"/>
              </w:rPr>
            </w:pPr>
            <w:r w:rsidRPr="00CB2871">
              <w:rPr>
                <w:rFonts w:cs="Calibri"/>
                <w:lang w:val="nl-BE"/>
              </w:rPr>
              <w:t xml:space="preserve">  1° het aantal geplaatste aandelen;</w:t>
            </w:r>
          </w:p>
          <w:p w14:paraId="0836DC9B" w14:textId="77777777" w:rsidR="002564ED" w:rsidRPr="00CB2871" w:rsidRDefault="002564ED" w:rsidP="00887026">
            <w:pPr>
              <w:spacing w:after="0" w:line="240" w:lineRule="auto"/>
              <w:jc w:val="both"/>
              <w:rPr>
                <w:rFonts w:cs="Calibri"/>
                <w:lang w:val="nl-BE"/>
              </w:rPr>
            </w:pPr>
          </w:p>
          <w:p w14:paraId="3BB9E0FA" w14:textId="77777777" w:rsidR="002564ED" w:rsidRDefault="002564ED" w:rsidP="00887026">
            <w:pPr>
              <w:spacing w:after="0" w:line="240" w:lineRule="auto"/>
              <w:jc w:val="both"/>
              <w:rPr>
                <w:rFonts w:cs="Calibri"/>
                <w:lang w:val="nl-BE"/>
              </w:rPr>
            </w:pPr>
            <w:r w:rsidRPr="00CB2871">
              <w:rPr>
                <w:rFonts w:cs="Calibri"/>
                <w:lang w:val="nl-BE"/>
              </w:rPr>
              <w:t xml:space="preserve">  2° de gedane stortingen;</w:t>
            </w:r>
          </w:p>
          <w:p w14:paraId="64F8B946" w14:textId="77777777" w:rsidR="002564ED" w:rsidRPr="00CB2871" w:rsidRDefault="002564ED" w:rsidP="00887026">
            <w:pPr>
              <w:spacing w:after="0" w:line="240" w:lineRule="auto"/>
              <w:jc w:val="both"/>
              <w:rPr>
                <w:rFonts w:cs="Calibri"/>
                <w:lang w:val="nl-BE"/>
              </w:rPr>
            </w:pPr>
          </w:p>
          <w:p w14:paraId="34E8A632" w14:textId="77777777" w:rsidR="002564ED" w:rsidRPr="00CB2871" w:rsidRDefault="002564ED" w:rsidP="00887026">
            <w:pPr>
              <w:spacing w:after="0" w:line="240" w:lineRule="auto"/>
              <w:jc w:val="both"/>
              <w:rPr>
                <w:rFonts w:cs="Calibri"/>
                <w:lang w:val="nl-BE"/>
              </w:rPr>
            </w:pPr>
            <w:r w:rsidRPr="00CB2871">
              <w:rPr>
                <w:rFonts w:cs="Calibri"/>
                <w:lang w:val="nl-BE"/>
              </w:rPr>
              <w:t xml:space="preserve">  3° de lijst van de aandeelhouders die hun aandelen niet hebben volgestort, met vermelding van het bedrag dat zij nog zijn verschuldigd.</w:t>
            </w:r>
          </w:p>
        </w:tc>
        <w:tc>
          <w:tcPr>
            <w:tcW w:w="5953" w:type="dxa"/>
            <w:shd w:val="clear" w:color="auto" w:fill="auto"/>
          </w:tcPr>
          <w:p w14:paraId="5C3C97FD" w14:textId="77777777" w:rsidR="002564ED" w:rsidRDefault="002564ED" w:rsidP="00887026">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44. </w:t>
            </w:r>
            <w:r w:rsidRPr="00CB2871">
              <w:rPr>
                <w:rFonts w:cs="Calibri"/>
                <w:lang w:val="fr-FR"/>
              </w:rPr>
              <w:t>Est déposée avec les comptes annuels, conformément aux articles 3:10</w:t>
            </w:r>
            <w:r>
              <w:rPr>
                <w:rFonts w:cs="Calibri"/>
                <w:lang w:val="fr-FR"/>
              </w:rPr>
              <w:t xml:space="preserve"> et 3:12, une liste qui indique</w:t>
            </w:r>
            <w:r w:rsidRPr="00CB2871">
              <w:rPr>
                <w:rFonts w:cs="Calibri"/>
                <w:lang w:val="fr-FR"/>
              </w:rPr>
              <w:t>:</w:t>
            </w:r>
          </w:p>
          <w:p w14:paraId="1B9FBE39" w14:textId="77777777" w:rsidR="002564ED" w:rsidRPr="00CB2871" w:rsidRDefault="002564ED" w:rsidP="00887026">
            <w:pPr>
              <w:spacing w:after="0" w:line="240" w:lineRule="auto"/>
              <w:jc w:val="both"/>
              <w:rPr>
                <w:rFonts w:cs="Calibri"/>
                <w:lang w:val="fr-FR"/>
              </w:rPr>
            </w:pPr>
          </w:p>
          <w:p w14:paraId="5A51471B" w14:textId="77777777" w:rsidR="002564ED" w:rsidRDefault="002564ED" w:rsidP="00887026">
            <w:pPr>
              <w:spacing w:after="0" w:line="240" w:lineRule="auto"/>
              <w:jc w:val="both"/>
              <w:rPr>
                <w:rFonts w:cs="Calibri"/>
                <w:lang w:val="fr-FR"/>
              </w:rPr>
            </w:pPr>
            <w:r w:rsidRPr="00CB2871">
              <w:rPr>
                <w:rFonts w:cs="Calibri"/>
                <w:lang w:val="fr-FR"/>
              </w:rPr>
              <w:t xml:space="preserve">  1°</w:t>
            </w:r>
            <w:r>
              <w:rPr>
                <w:rFonts w:cs="Calibri"/>
                <w:lang w:val="fr-FR"/>
              </w:rPr>
              <w:t xml:space="preserve"> le nombre d'</w:t>
            </w:r>
            <w:bookmarkStart w:id="0" w:name="_GoBack"/>
            <w:bookmarkEnd w:id="0"/>
            <w:r>
              <w:rPr>
                <w:rFonts w:cs="Calibri"/>
                <w:lang w:val="fr-FR"/>
              </w:rPr>
              <w:t>actions souscrites</w:t>
            </w:r>
            <w:r w:rsidRPr="00CB2871">
              <w:rPr>
                <w:rFonts w:cs="Calibri"/>
                <w:lang w:val="fr-FR"/>
              </w:rPr>
              <w:t xml:space="preserve">; </w:t>
            </w:r>
          </w:p>
          <w:p w14:paraId="7B21ABB3" w14:textId="77777777" w:rsidR="002564ED" w:rsidRPr="00CB2871" w:rsidRDefault="002564ED" w:rsidP="00887026">
            <w:pPr>
              <w:spacing w:after="0" w:line="240" w:lineRule="auto"/>
              <w:jc w:val="both"/>
              <w:rPr>
                <w:rFonts w:cs="Calibri"/>
                <w:lang w:val="fr-FR"/>
              </w:rPr>
            </w:pPr>
          </w:p>
          <w:p w14:paraId="55C4EA83" w14:textId="77777777" w:rsidR="002564ED" w:rsidRDefault="002564ED" w:rsidP="00887026">
            <w:pPr>
              <w:spacing w:after="0" w:line="240" w:lineRule="auto"/>
              <w:jc w:val="both"/>
              <w:rPr>
                <w:rFonts w:cs="Calibri"/>
                <w:lang w:val="fr-FR"/>
              </w:rPr>
            </w:pPr>
            <w:r>
              <w:rPr>
                <w:rFonts w:cs="Calibri"/>
                <w:lang w:val="fr-FR"/>
              </w:rPr>
              <w:t xml:space="preserve">  2° les versements </w:t>
            </w:r>
            <w:proofErr w:type="gramStart"/>
            <w:r>
              <w:rPr>
                <w:rFonts w:cs="Calibri"/>
                <w:lang w:val="fr-FR"/>
              </w:rPr>
              <w:t>effectués</w:t>
            </w:r>
            <w:r w:rsidRPr="00CB2871">
              <w:rPr>
                <w:rFonts w:cs="Calibri"/>
                <w:lang w:val="fr-FR"/>
              </w:rPr>
              <w:t>;</w:t>
            </w:r>
            <w:proofErr w:type="gramEnd"/>
          </w:p>
          <w:p w14:paraId="7E65806C" w14:textId="77777777" w:rsidR="002564ED" w:rsidRPr="00CB2871" w:rsidRDefault="002564ED" w:rsidP="00887026">
            <w:pPr>
              <w:spacing w:after="0" w:line="240" w:lineRule="auto"/>
              <w:jc w:val="both"/>
              <w:rPr>
                <w:rFonts w:cs="Calibri"/>
                <w:lang w:val="fr-FR"/>
              </w:rPr>
            </w:pPr>
          </w:p>
          <w:p w14:paraId="16FCB176" w14:textId="77777777" w:rsidR="002564ED" w:rsidRPr="00CB2871" w:rsidRDefault="002564ED" w:rsidP="00887026">
            <w:pPr>
              <w:spacing w:after="0" w:line="240" w:lineRule="auto"/>
              <w:jc w:val="both"/>
              <w:rPr>
                <w:rFonts w:cs="Calibri"/>
                <w:lang w:val="fr-FR"/>
              </w:rPr>
            </w:pPr>
            <w:r w:rsidRPr="00CB2871">
              <w:rPr>
                <w:rFonts w:cs="Calibri"/>
                <w:lang w:val="fr-FR"/>
              </w:rPr>
              <w:t xml:space="preserve">  3° la liste des actionnaires qui n'ont pas entièrement libéré leurs actions, avec la mention du montant dont ils sont encore redevables.</w:t>
            </w:r>
          </w:p>
        </w:tc>
      </w:tr>
      <w:tr w:rsidR="002564ED" w:rsidRPr="00C73306" w14:paraId="70D830AF" w14:textId="77777777" w:rsidTr="0054514E">
        <w:trPr>
          <w:trHeight w:val="409"/>
        </w:trPr>
        <w:tc>
          <w:tcPr>
            <w:tcW w:w="2122" w:type="dxa"/>
          </w:tcPr>
          <w:p w14:paraId="25C2E69A" w14:textId="77777777" w:rsidR="002564ED" w:rsidRPr="00C73306" w:rsidRDefault="002564ED" w:rsidP="00CB2871">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41157232" w14:textId="77777777" w:rsidR="002564ED" w:rsidRPr="00C73306" w:rsidRDefault="002564ED" w:rsidP="00CD018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6ECAB03E" w14:textId="77777777" w:rsidR="002564ED" w:rsidRPr="007F6985" w:rsidRDefault="002564ED" w:rsidP="00CD0183">
            <w:pPr>
              <w:spacing w:after="0" w:line="240" w:lineRule="auto"/>
              <w:jc w:val="both"/>
              <w:rPr>
                <w:rFonts w:cs="Calibri"/>
                <w:lang w:val="fr-BE"/>
              </w:rPr>
            </w:pPr>
            <w:r>
              <w:rPr>
                <w:rFonts w:cs="Calibri"/>
                <w:lang w:val="fr-BE"/>
              </w:rPr>
              <w:t>Pas d’article.</w:t>
            </w:r>
          </w:p>
        </w:tc>
      </w:tr>
      <w:tr w:rsidR="002564ED" w:rsidRPr="00B435A2" w14:paraId="697D0D4E" w14:textId="77777777" w:rsidTr="0054514E">
        <w:trPr>
          <w:trHeight w:val="409"/>
        </w:trPr>
        <w:tc>
          <w:tcPr>
            <w:tcW w:w="2122" w:type="dxa"/>
          </w:tcPr>
          <w:p w14:paraId="30D094A6" w14:textId="77777777" w:rsidR="002564ED" w:rsidRDefault="002564ED" w:rsidP="00E34FF7">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4CE36D82" w14:textId="77777777" w:rsidR="002564ED" w:rsidRPr="00CB2871" w:rsidRDefault="002564ED" w:rsidP="00CB2871">
            <w:pPr>
              <w:spacing w:after="0" w:line="240" w:lineRule="auto"/>
              <w:jc w:val="both"/>
              <w:rPr>
                <w:rFonts w:cs="Calibri"/>
                <w:lang w:val="nl-BE"/>
              </w:rPr>
            </w:pPr>
            <w:r w:rsidRPr="00634DA9">
              <w:rPr>
                <w:rFonts w:cs="Calibri"/>
                <w:lang w:val="nl-BE"/>
              </w:rPr>
              <w:t xml:space="preserve">De verplichting om met de jaarrekening een lijst neer te leggen met opgave van een aantal inlichtingen betreffende de aandelen en hun volstorting, die tot dusver enkel voor de NV gold (artikel 479 W.Venn.) wordt mutatis </w:t>
            </w:r>
            <w:r>
              <w:rPr>
                <w:rFonts w:cs="Calibri"/>
                <w:lang w:val="nl-BE"/>
              </w:rPr>
              <w:t xml:space="preserve">mutandis tot de BV uitgebreid. </w:t>
            </w:r>
          </w:p>
        </w:tc>
        <w:tc>
          <w:tcPr>
            <w:tcW w:w="5953" w:type="dxa"/>
            <w:shd w:val="clear" w:color="auto" w:fill="auto"/>
          </w:tcPr>
          <w:p w14:paraId="4BECFFD3" w14:textId="77777777" w:rsidR="002564ED" w:rsidRPr="00634DA9" w:rsidRDefault="002564ED" w:rsidP="00634DA9">
            <w:pPr>
              <w:spacing w:after="0" w:line="240" w:lineRule="auto"/>
              <w:jc w:val="both"/>
              <w:rPr>
                <w:rFonts w:cs="Calibri"/>
                <w:lang w:val="fr-FR"/>
              </w:rPr>
            </w:pPr>
            <w:r w:rsidRPr="00634DA9">
              <w:rPr>
                <w:rFonts w:cs="Calibri"/>
                <w:lang w:val="fr-FR"/>
              </w:rPr>
              <w:t xml:space="preserve">L’obligation de déposer avec les comptes annuels une liste précisant un certain nombre d’informations concernant les actions et leur libération, qui jusqu’à présent ne s'appliquait qu’à la SA (article 479 C. Soc.), est étendue, mutatis mutandis, à la SRL. </w:t>
            </w:r>
          </w:p>
          <w:p w14:paraId="5E1F1532" w14:textId="77777777" w:rsidR="002564ED" w:rsidRPr="00634DA9" w:rsidRDefault="002564ED" w:rsidP="00CB2871">
            <w:pPr>
              <w:spacing w:after="0" w:line="240" w:lineRule="auto"/>
              <w:jc w:val="both"/>
              <w:rPr>
                <w:rFonts w:cs="Calibri"/>
                <w:lang w:val="fr-FR"/>
              </w:rPr>
            </w:pPr>
          </w:p>
        </w:tc>
      </w:tr>
      <w:tr w:rsidR="002564ED" w:rsidRPr="00634DA9" w14:paraId="446EFC96" w14:textId="77777777" w:rsidTr="0054514E">
        <w:trPr>
          <w:trHeight w:val="409"/>
        </w:trPr>
        <w:tc>
          <w:tcPr>
            <w:tcW w:w="2122" w:type="dxa"/>
          </w:tcPr>
          <w:p w14:paraId="7D7469FC" w14:textId="77777777" w:rsidR="002564ED" w:rsidRDefault="002564ED" w:rsidP="00E34FF7">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7612E407" w14:textId="77777777" w:rsidR="002564ED" w:rsidRPr="00634DA9" w:rsidRDefault="002564ED" w:rsidP="00CB2871">
            <w:pPr>
              <w:spacing w:after="0" w:line="240" w:lineRule="auto"/>
              <w:jc w:val="both"/>
              <w:rPr>
                <w:rFonts w:cs="Calibri"/>
                <w:lang w:val="nl-BE"/>
              </w:rPr>
            </w:pPr>
            <w:r>
              <w:rPr>
                <w:rFonts w:cs="Calibri"/>
                <w:lang w:val="nl-BE"/>
              </w:rPr>
              <w:t>Geen opmerkingen.</w:t>
            </w:r>
          </w:p>
        </w:tc>
        <w:tc>
          <w:tcPr>
            <w:tcW w:w="5953" w:type="dxa"/>
            <w:shd w:val="clear" w:color="auto" w:fill="auto"/>
          </w:tcPr>
          <w:p w14:paraId="4DC2C792" w14:textId="77777777" w:rsidR="002564ED" w:rsidRPr="00634DA9" w:rsidRDefault="002564ED" w:rsidP="00634DA9">
            <w:pPr>
              <w:spacing w:after="0" w:line="240" w:lineRule="auto"/>
              <w:jc w:val="both"/>
              <w:rPr>
                <w:rFonts w:cs="Calibri"/>
                <w:lang w:val="fr-FR"/>
              </w:rPr>
            </w:pPr>
            <w:r>
              <w:rPr>
                <w:rFonts w:cs="Calibri"/>
                <w:lang w:val="fr-FR"/>
              </w:rPr>
              <w:t>Pas de remarques.</w:t>
            </w:r>
          </w:p>
        </w:tc>
      </w:tr>
    </w:tbl>
    <w:p w14:paraId="70DCEA72" w14:textId="77777777" w:rsidR="00A820D7" w:rsidRPr="00634DA9" w:rsidRDefault="00A820D7" w:rsidP="0054514E">
      <w:pPr>
        <w:rPr>
          <w:lang w:val="fr-FR"/>
        </w:rPr>
      </w:pPr>
    </w:p>
    <w:sectPr w:rsidR="00A820D7" w:rsidRPr="00634DA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214A14"/>
    <w:rsid w:val="00214ADA"/>
    <w:rsid w:val="00222ED8"/>
    <w:rsid w:val="00226264"/>
    <w:rsid w:val="002337A0"/>
    <w:rsid w:val="00254D85"/>
    <w:rsid w:val="002564ED"/>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4514E"/>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34DA9"/>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435A2"/>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3CB8"/>
    <w:rsid w:val="00C4686A"/>
    <w:rsid w:val="00C5439F"/>
    <w:rsid w:val="00C6220A"/>
    <w:rsid w:val="00C73306"/>
    <w:rsid w:val="00C73AA3"/>
    <w:rsid w:val="00C80883"/>
    <w:rsid w:val="00C86467"/>
    <w:rsid w:val="00C86CC5"/>
    <w:rsid w:val="00C91A38"/>
    <w:rsid w:val="00CA2994"/>
    <w:rsid w:val="00CB2871"/>
    <w:rsid w:val="00CC6422"/>
    <w:rsid w:val="00CC7833"/>
    <w:rsid w:val="00CD0183"/>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296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53</cp:revision>
  <dcterms:created xsi:type="dcterms:W3CDTF">2019-10-26T21:04:00Z</dcterms:created>
  <dcterms:modified xsi:type="dcterms:W3CDTF">2021-08-27T08:48:00Z</dcterms:modified>
</cp:coreProperties>
</file>