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5C5FC8" w:rsidRPr="00CD3AED" w14:paraId="39F48241" w14:textId="77777777" w:rsidTr="005C5FC8">
        <w:tc>
          <w:tcPr>
            <w:tcW w:w="13462" w:type="dxa"/>
            <w:gridSpan w:val="3"/>
          </w:tcPr>
          <w:p w14:paraId="2AC5F0B7" w14:textId="77777777" w:rsidR="005C5FC8" w:rsidRPr="00B07AC9" w:rsidRDefault="005C5FC8" w:rsidP="007D7A6B">
            <w:pPr>
              <w:rPr>
                <w:b/>
                <w:sz w:val="32"/>
                <w:szCs w:val="32"/>
                <w:lang w:val="nl-BE"/>
              </w:rPr>
            </w:pPr>
            <w:r>
              <w:rPr>
                <w:b/>
                <w:sz w:val="32"/>
                <w:szCs w:val="32"/>
                <w:lang w:val="nl-BE"/>
              </w:rPr>
              <w:t>Hoofdstuk 3. – Stortingen van de inbrengen.</w:t>
            </w:r>
          </w:p>
        </w:tc>
        <w:tc>
          <w:tcPr>
            <w:tcW w:w="283" w:type="dxa"/>
            <w:shd w:val="clear" w:color="auto" w:fill="auto"/>
          </w:tcPr>
          <w:p w14:paraId="06B0713A" w14:textId="77777777" w:rsidR="005C5FC8" w:rsidRPr="005C5FC8" w:rsidRDefault="005C5FC8"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686B08C" w14:textId="77777777" w:rsidTr="00597CC3">
        <w:tc>
          <w:tcPr>
            <w:tcW w:w="2122" w:type="dxa"/>
          </w:tcPr>
          <w:p w14:paraId="7435DCB0" w14:textId="77777777" w:rsidR="001203BA" w:rsidRPr="00B07AC9" w:rsidRDefault="00083330" w:rsidP="007D7A6B">
            <w:pPr>
              <w:rPr>
                <w:b/>
                <w:sz w:val="32"/>
                <w:szCs w:val="32"/>
                <w:lang w:val="nl-BE"/>
              </w:rPr>
            </w:pPr>
            <w:r w:rsidRPr="00B07AC9">
              <w:rPr>
                <w:b/>
                <w:sz w:val="32"/>
                <w:szCs w:val="32"/>
                <w:lang w:val="nl-BE"/>
              </w:rPr>
              <w:t xml:space="preserve">ARTIKEL </w:t>
            </w:r>
            <w:r>
              <w:rPr>
                <w:b/>
                <w:sz w:val="32"/>
                <w:szCs w:val="32"/>
                <w:lang w:val="nl-BE"/>
              </w:rPr>
              <w:t>5:8</w:t>
            </w:r>
          </w:p>
        </w:tc>
        <w:tc>
          <w:tcPr>
            <w:tcW w:w="11623" w:type="dxa"/>
            <w:gridSpan w:val="3"/>
            <w:shd w:val="clear" w:color="auto" w:fill="auto"/>
          </w:tcPr>
          <w:p w14:paraId="51604D6A"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A4C38" w:rsidRPr="00F234EA" w14:paraId="35C9011B" w14:textId="77777777" w:rsidTr="00597CC3">
        <w:tc>
          <w:tcPr>
            <w:tcW w:w="2122" w:type="dxa"/>
          </w:tcPr>
          <w:p w14:paraId="282FF148" w14:textId="77777777" w:rsidR="00EA4C38" w:rsidRPr="00B07AC9" w:rsidRDefault="00EA4C38" w:rsidP="007D7A6B">
            <w:pPr>
              <w:rPr>
                <w:b/>
                <w:sz w:val="32"/>
                <w:szCs w:val="32"/>
                <w:lang w:val="nl-BE"/>
              </w:rPr>
            </w:pPr>
          </w:p>
        </w:tc>
        <w:tc>
          <w:tcPr>
            <w:tcW w:w="11623" w:type="dxa"/>
            <w:gridSpan w:val="3"/>
            <w:shd w:val="clear" w:color="auto" w:fill="auto"/>
          </w:tcPr>
          <w:p w14:paraId="52482BE6" w14:textId="77777777" w:rsidR="00EA4C38" w:rsidRPr="00F234EA" w:rsidRDefault="00EA4C38" w:rsidP="007D7A6B">
            <w:pPr>
              <w:rPr>
                <w:rFonts w:asciiTheme="majorHAnsi" w:eastAsiaTheme="majorEastAsia" w:hAnsiTheme="majorHAnsi" w:cstheme="majorBidi"/>
                <w:b/>
                <w:bCs/>
                <w:color w:val="2E74B5" w:themeColor="accent1" w:themeShade="BF"/>
                <w:sz w:val="32"/>
                <w:szCs w:val="28"/>
                <w:lang w:val="fr-FR"/>
              </w:rPr>
            </w:pPr>
          </w:p>
        </w:tc>
      </w:tr>
      <w:tr w:rsidR="00E34FF7" w:rsidRPr="00F068A5" w14:paraId="5F54CF70" w14:textId="77777777" w:rsidTr="00F068A5">
        <w:trPr>
          <w:trHeight w:val="556"/>
        </w:trPr>
        <w:tc>
          <w:tcPr>
            <w:tcW w:w="2122" w:type="dxa"/>
          </w:tcPr>
          <w:p w14:paraId="7B3C2785"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4DC51ACB" w14:textId="77777777" w:rsidR="00E34FF7" w:rsidRPr="00417CC3" w:rsidRDefault="00417CC3" w:rsidP="00417CC3">
            <w:pPr>
              <w:spacing w:after="0" w:line="240" w:lineRule="auto"/>
              <w:jc w:val="both"/>
              <w:rPr>
                <w:rFonts w:cs="Calibri"/>
                <w:lang w:val="nl-BE"/>
              </w:rPr>
            </w:pPr>
            <w:r w:rsidRPr="00F15057">
              <w:rPr>
                <w:rFonts w:cs="Calibri"/>
                <w:lang w:val="nl-BE"/>
              </w:rPr>
              <w:t>Tenzij de oprichtingsakte anders bepaalt worden alle inbrengen vanaf de oprichting volledig gestort.</w:t>
            </w:r>
          </w:p>
        </w:tc>
        <w:tc>
          <w:tcPr>
            <w:tcW w:w="5812" w:type="dxa"/>
            <w:gridSpan w:val="2"/>
            <w:shd w:val="clear" w:color="auto" w:fill="auto"/>
          </w:tcPr>
          <w:p w14:paraId="1DA1B2CB" w14:textId="77777777" w:rsidR="00E34FF7" w:rsidRPr="00CC7833" w:rsidRDefault="00417CC3" w:rsidP="003342CF">
            <w:pPr>
              <w:spacing w:after="0" w:line="240" w:lineRule="auto"/>
              <w:jc w:val="both"/>
              <w:rPr>
                <w:rFonts w:cs="Calibri"/>
                <w:lang w:val="fr-FR"/>
              </w:rPr>
            </w:pPr>
            <w:r w:rsidRPr="00F15057">
              <w:rPr>
                <w:rFonts w:cs="Calibri"/>
                <w:lang w:val="fr-FR"/>
              </w:rPr>
              <w:t xml:space="preserve">Sauf disposition contraire dans l’acte constitutif, tous les apports sont intégralement libérés dès la constitution. </w:t>
            </w:r>
          </w:p>
        </w:tc>
      </w:tr>
      <w:tr w:rsidR="00CD3AED" w:rsidRPr="00F068A5" w14:paraId="534858DC" w14:textId="77777777" w:rsidTr="00F068A5">
        <w:trPr>
          <w:trHeight w:val="556"/>
        </w:trPr>
        <w:tc>
          <w:tcPr>
            <w:tcW w:w="2122" w:type="dxa"/>
          </w:tcPr>
          <w:p w14:paraId="53A6F6A5" w14:textId="77777777" w:rsidR="00CD3AED" w:rsidRDefault="00CD3AED" w:rsidP="00887026">
            <w:pPr>
              <w:spacing w:after="0" w:line="240" w:lineRule="auto"/>
              <w:jc w:val="both"/>
              <w:rPr>
                <w:rFonts w:cs="Calibri"/>
                <w:lang w:val="nl-BE"/>
              </w:rPr>
            </w:pPr>
            <w:r>
              <w:rPr>
                <w:rFonts w:cs="Calibri"/>
                <w:lang w:val="nl-BE"/>
              </w:rPr>
              <w:t>Ontwerp</w:t>
            </w:r>
          </w:p>
        </w:tc>
        <w:tc>
          <w:tcPr>
            <w:tcW w:w="5811" w:type="dxa"/>
            <w:shd w:val="clear" w:color="auto" w:fill="auto"/>
          </w:tcPr>
          <w:p w14:paraId="4750F48D" w14:textId="77777777" w:rsidR="00CD3AED" w:rsidRPr="00F15057" w:rsidRDefault="00CD3AED" w:rsidP="00887026">
            <w:pPr>
              <w:spacing w:after="0" w:line="240" w:lineRule="auto"/>
              <w:jc w:val="both"/>
              <w:rPr>
                <w:rFonts w:cs="Calibri"/>
                <w:lang w:val="nl-BE"/>
              </w:rPr>
            </w:pPr>
            <w:r>
              <w:rPr>
                <w:rFonts w:cs="Calibri"/>
                <w:lang w:val="nl-BE"/>
              </w:rPr>
              <w:t>Art. 5:8.</w:t>
            </w:r>
            <w:r w:rsidRPr="005C5FC8">
              <w:rPr>
                <w:rFonts w:cs="Calibri"/>
                <w:lang w:val="nl-BE"/>
              </w:rPr>
              <w:t xml:space="preserve"> Tenzij de oprichtingsakte anders bepaalt worden alle inbrengen vanaf de oprichting volledig gestort.</w:t>
            </w:r>
          </w:p>
        </w:tc>
        <w:tc>
          <w:tcPr>
            <w:tcW w:w="5812" w:type="dxa"/>
            <w:gridSpan w:val="2"/>
            <w:shd w:val="clear" w:color="auto" w:fill="auto"/>
          </w:tcPr>
          <w:p w14:paraId="07C2B28C" w14:textId="77777777" w:rsidR="00CD3AED" w:rsidRPr="005C5FC8" w:rsidRDefault="00CD3AED" w:rsidP="00887026">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r>
              <w:rPr>
                <w:rFonts w:cs="Calibri"/>
                <w:lang w:val="fr-FR"/>
              </w:rPr>
              <w:t xml:space="preserve">8. </w:t>
            </w:r>
            <w:r w:rsidRPr="005C5FC8">
              <w:rPr>
                <w:rFonts w:cs="Calibri"/>
                <w:lang w:val="fr-FR"/>
              </w:rPr>
              <w:t>Sauf disposition contraire dans l’acte constitutif, tous les apports sont intégralement libérés dès la constitution.</w:t>
            </w:r>
          </w:p>
        </w:tc>
      </w:tr>
      <w:tr w:rsidR="00CD3AED" w:rsidRPr="00F068A5" w14:paraId="2E14EA7E" w14:textId="77777777" w:rsidTr="00F068A5">
        <w:trPr>
          <w:trHeight w:val="564"/>
        </w:trPr>
        <w:tc>
          <w:tcPr>
            <w:tcW w:w="2122" w:type="dxa"/>
          </w:tcPr>
          <w:p w14:paraId="1985CC03" w14:textId="77777777" w:rsidR="00CD3AED" w:rsidRDefault="00CD3AED" w:rsidP="00083330">
            <w:pPr>
              <w:spacing w:after="0" w:line="240" w:lineRule="auto"/>
              <w:jc w:val="both"/>
              <w:rPr>
                <w:rFonts w:cs="Calibri"/>
                <w:lang w:val="nl-BE"/>
              </w:rPr>
            </w:pPr>
            <w:r>
              <w:rPr>
                <w:rFonts w:cs="Calibri"/>
                <w:lang w:val="nl-BE"/>
              </w:rPr>
              <w:t>Voorontwerp</w:t>
            </w:r>
          </w:p>
        </w:tc>
        <w:tc>
          <w:tcPr>
            <w:tcW w:w="5811" w:type="dxa"/>
            <w:shd w:val="clear" w:color="auto" w:fill="auto"/>
          </w:tcPr>
          <w:p w14:paraId="3CF04BA2" w14:textId="77777777" w:rsidR="00CD3AED" w:rsidRPr="00417CC3" w:rsidRDefault="00CD3AED" w:rsidP="00083330">
            <w:pPr>
              <w:spacing w:after="0" w:line="240" w:lineRule="auto"/>
              <w:jc w:val="both"/>
              <w:rPr>
                <w:rFonts w:cs="Calibri"/>
                <w:lang w:val="nl-BE"/>
              </w:rPr>
            </w:pPr>
            <w:r>
              <w:rPr>
                <w:rFonts w:cs="Calibri"/>
                <w:lang w:val="nl-BE"/>
              </w:rPr>
              <w:t xml:space="preserve">Art. 5:8. </w:t>
            </w:r>
            <w:r w:rsidRPr="00F15057">
              <w:rPr>
                <w:rFonts w:cs="Calibri"/>
                <w:lang w:val="nl-BE"/>
              </w:rPr>
              <w:t>Tenzij de oprichtingsakte anders bepaalt worden alle inbrengen vanaf de oprichting volledig gestort.</w:t>
            </w:r>
          </w:p>
        </w:tc>
        <w:tc>
          <w:tcPr>
            <w:tcW w:w="5812" w:type="dxa"/>
            <w:gridSpan w:val="2"/>
            <w:shd w:val="clear" w:color="auto" w:fill="auto"/>
          </w:tcPr>
          <w:p w14:paraId="699256B2" w14:textId="77777777" w:rsidR="00CD3AED" w:rsidRPr="005C5FC8" w:rsidRDefault="00CD3AED" w:rsidP="00083330">
            <w:pPr>
              <w:spacing w:after="0" w:line="240" w:lineRule="auto"/>
              <w:jc w:val="both"/>
              <w:rPr>
                <w:rFonts w:cs="Calibri"/>
                <w:lang w:val="fr-FR"/>
              </w:rPr>
            </w:pPr>
            <w:r w:rsidRPr="005C5FC8">
              <w:rPr>
                <w:rFonts w:cs="Calibri"/>
                <w:lang w:val="fr-FR"/>
              </w:rPr>
              <w:t xml:space="preserve">Art. </w:t>
            </w:r>
            <w:r>
              <w:rPr>
                <w:rFonts w:cs="Calibri"/>
                <w:lang w:val="fr-FR"/>
              </w:rPr>
              <w:t xml:space="preserve">5 :8. </w:t>
            </w:r>
            <w:r w:rsidRPr="005C5FC8">
              <w:rPr>
                <w:rFonts w:cs="Calibri"/>
                <w:lang w:val="fr-FR"/>
              </w:rPr>
              <w:t>Sauf disposition contraire dans l’acte constitutif, tous les apports sont intégralement libérés dès la constitution.</w:t>
            </w:r>
          </w:p>
        </w:tc>
      </w:tr>
      <w:tr w:rsidR="00CD3AED" w:rsidRPr="00CD3AED" w14:paraId="3DF53B34" w14:textId="77777777" w:rsidTr="00F068A5">
        <w:trPr>
          <w:trHeight w:val="70"/>
        </w:trPr>
        <w:tc>
          <w:tcPr>
            <w:tcW w:w="2122" w:type="dxa"/>
          </w:tcPr>
          <w:p w14:paraId="7374B8F7" w14:textId="77777777" w:rsidR="00CD3AED" w:rsidRDefault="00CD3AED" w:rsidP="00083330">
            <w:pPr>
              <w:spacing w:after="0" w:line="240" w:lineRule="auto"/>
              <w:jc w:val="both"/>
              <w:rPr>
                <w:rFonts w:cs="Calibri"/>
                <w:lang w:val="nl-BE"/>
              </w:rPr>
            </w:pPr>
            <w:bookmarkStart w:id="0" w:name="_GoBack"/>
            <w:bookmarkEnd w:id="0"/>
            <w:r>
              <w:rPr>
                <w:rFonts w:cs="Calibri"/>
                <w:lang w:val="nl-BE"/>
              </w:rPr>
              <w:t>MvT</w:t>
            </w:r>
          </w:p>
        </w:tc>
        <w:tc>
          <w:tcPr>
            <w:tcW w:w="5811" w:type="dxa"/>
            <w:shd w:val="clear" w:color="auto" w:fill="auto"/>
          </w:tcPr>
          <w:p w14:paraId="5FE8C9B9" w14:textId="77777777" w:rsidR="00CD3AED" w:rsidRPr="00DC5527" w:rsidRDefault="00CD3AED" w:rsidP="00DC5527">
            <w:pPr>
              <w:spacing w:after="0" w:line="240" w:lineRule="auto"/>
              <w:jc w:val="both"/>
              <w:rPr>
                <w:rFonts w:cs="Calibri"/>
                <w:lang w:val="nl-BE"/>
              </w:rPr>
            </w:pPr>
            <w:r w:rsidRPr="00DC5527">
              <w:rPr>
                <w:rFonts w:cs="Calibri"/>
                <w:lang w:val="nl-BE"/>
              </w:rPr>
              <w:t xml:space="preserve">Wat betreft de volstorting van de inbrengen (artikel 223 W.Venn.) wordt naar een oplossing gestreefd die eenvoudig is en de nodige garantie biedt aan de aandeelhouders en schuldeisers, maar toch voldoende flexibel is. Het Nederlandse BV-model is ter zake inspirerend. Het uitgangspunt is daarbij dat iedere inbreng onmiddellijk moet worden volgestort, maar dat daarvan in de oprichtingsakte in alle opzichten kan worden afgeweken. </w:t>
            </w:r>
          </w:p>
          <w:p w14:paraId="008FB0ED" w14:textId="77777777" w:rsidR="00CD3AED" w:rsidRPr="00DC5527" w:rsidRDefault="00CD3AED" w:rsidP="00DC5527">
            <w:pPr>
              <w:spacing w:after="0" w:line="240" w:lineRule="auto"/>
              <w:jc w:val="both"/>
              <w:rPr>
                <w:rFonts w:cs="Calibri"/>
                <w:lang w:val="nl-BE"/>
              </w:rPr>
            </w:pPr>
          </w:p>
          <w:p w14:paraId="23832B19" w14:textId="77777777" w:rsidR="00CD3AED" w:rsidRPr="005C5FC8" w:rsidRDefault="00CD3AED" w:rsidP="00083330">
            <w:pPr>
              <w:spacing w:after="0" w:line="240" w:lineRule="auto"/>
              <w:jc w:val="both"/>
              <w:rPr>
                <w:rFonts w:cs="Calibri"/>
                <w:lang w:val="nl-BE"/>
              </w:rPr>
            </w:pPr>
            <w:r w:rsidRPr="00DC5527">
              <w:rPr>
                <w:rFonts w:cs="Calibri"/>
                <w:lang w:val="nl-BE"/>
              </w:rPr>
              <w:t>Wat de inbreng in nijverheid betreft, geldt de levering van de beloofde prestaties, waarvan het ritme statutair wordt vastgelegd, als volstorting. Bijzondere beperkingen inzake overdraagbaarheid  van tegen nijverheidsinbrengen uitgegeven aandelen zijn niet noodzakelijk, nu de overdrager en de overnemer tot aan de algehele volstorting hoofdelijk zijn gehouden (zie artikel 5:66). Indien de oprichtingsakte het lot van de resterende volstortingsschuld in geval van faillissement van de vennootschap of overlijden van de inbrenger niet bepaalt, geldt de verplichting de volstortingsschuld bij equivalent te voldoen.</w:t>
            </w:r>
          </w:p>
        </w:tc>
        <w:tc>
          <w:tcPr>
            <w:tcW w:w="5812" w:type="dxa"/>
            <w:gridSpan w:val="2"/>
            <w:shd w:val="clear" w:color="auto" w:fill="auto"/>
          </w:tcPr>
          <w:p w14:paraId="7A191DFE" w14:textId="77777777" w:rsidR="00CD3AED" w:rsidRPr="00DC5527" w:rsidRDefault="00CD3AED" w:rsidP="00DC5527">
            <w:pPr>
              <w:spacing w:after="0" w:line="240" w:lineRule="auto"/>
              <w:jc w:val="both"/>
              <w:rPr>
                <w:rFonts w:cs="Calibri"/>
                <w:lang w:val="fr-FR"/>
              </w:rPr>
            </w:pPr>
            <w:r w:rsidRPr="00DC5527">
              <w:rPr>
                <w:rFonts w:cs="Calibri"/>
                <w:lang w:val="fr-FR"/>
              </w:rPr>
              <w:t xml:space="preserve">En ce qui concerne la libération des apports (article 223 C. Soc.), on tend vers une solution simple qui offre la garantie nécessaire aux actionnaires et aux créanciers, tout en étant suffisamment souple. Le modèle de la BV néerlandaise est une source d’inspiration en la matière. En principe, tout apport doit être immédiatement libéré, mais l’on peut déroger à cette </w:t>
            </w:r>
            <w:r>
              <w:rPr>
                <w:rFonts w:cs="Calibri"/>
                <w:lang w:val="fr-FR"/>
              </w:rPr>
              <w:t xml:space="preserve">règle dans l'acte constitutif. </w:t>
            </w:r>
          </w:p>
          <w:p w14:paraId="30A0A2A8" w14:textId="77777777" w:rsidR="00CD3AED" w:rsidRPr="00DC5527" w:rsidRDefault="00CD3AED" w:rsidP="00DC5527">
            <w:pPr>
              <w:spacing w:after="0" w:line="240" w:lineRule="auto"/>
              <w:jc w:val="both"/>
              <w:rPr>
                <w:rFonts w:cs="Calibri"/>
                <w:lang w:val="fr-FR"/>
              </w:rPr>
            </w:pPr>
          </w:p>
          <w:p w14:paraId="1D8CCF31" w14:textId="77777777" w:rsidR="00CD3AED" w:rsidRPr="00DC5527" w:rsidRDefault="00CD3AED" w:rsidP="00DC5527">
            <w:pPr>
              <w:spacing w:after="0" w:line="240" w:lineRule="auto"/>
              <w:jc w:val="both"/>
              <w:rPr>
                <w:rFonts w:cs="Calibri"/>
                <w:lang w:val="fr-FR"/>
              </w:rPr>
            </w:pPr>
            <w:r w:rsidRPr="00DC5527">
              <w:rPr>
                <w:rFonts w:cs="Calibri"/>
                <w:lang w:val="fr-FR"/>
              </w:rPr>
              <w:t xml:space="preserve">En ce qui concerne l'apport en industrie, l’exécution des prestations promises, dont le rythme est défini par les statuts, a valeur de libération. Il n’est pas nécessaire de prévoir des restrictions particulières concernant la cessibilité des actions émises contre des apports en industrie puisque le cédant et le cessionnaire sont tenus solidairement à la libération intégrale (voir article </w:t>
            </w:r>
            <w:proofErr w:type="gramStart"/>
            <w:r w:rsidRPr="00DC5527">
              <w:rPr>
                <w:rFonts w:cs="Calibri"/>
                <w:lang w:val="fr-FR"/>
              </w:rPr>
              <w:t>5:</w:t>
            </w:r>
            <w:proofErr w:type="gramEnd"/>
            <w:r w:rsidRPr="00DC5527">
              <w:rPr>
                <w:rFonts w:cs="Calibri"/>
                <w:lang w:val="fr-FR"/>
              </w:rPr>
              <w:t>66). Si l'acte constitutif ne précise pas le sort réservé à la créance de libération qui subsiste en cas de faillite de la société ou de décès de l’apporteur, l’obligation de libération s’exécutera en équivalent.</w:t>
            </w:r>
          </w:p>
        </w:tc>
      </w:tr>
      <w:tr w:rsidR="00CD3AED" w:rsidRPr="00DC5527" w14:paraId="66383988" w14:textId="77777777" w:rsidTr="00F068A5">
        <w:trPr>
          <w:trHeight w:val="416"/>
        </w:trPr>
        <w:tc>
          <w:tcPr>
            <w:tcW w:w="2122" w:type="dxa"/>
          </w:tcPr>
          <w:p w14:paraId="03ED20C5" w14:textId="77777777" w:rsidR="00CD3AED" w:rsidRDefault="00CD3AED" w:rsidP="00083330">
            <w:pPr>
              <w:spacing w:after="0" w:line="240" w:lineRule="auto"/>
              <w:jc w:val="both"/>
              <w:rPr>
                <w:rFonts w:cs="Calibri"/>
                <w:lang w:val="nl-BE"/>
              </w:rPr>
            </w:pPr>
            <w:r>
              <w:rPr>
                <w:rFonts w:cs="Calibri"/>
                <w:lang w:val="nl-BE"/>
              </w:rPr>
              <w:lastRenderedPageBreak/>
              <w:t>RvSt</w:t>
            </w:r>
          </w:p>
        </w:tc>
        <w:tc>
          <w:tcPr>
            <w:tcW w:w="5811" w:type="dxa"/>
            <w:shd w:val="clear" w:color="auto" w:fill="auto"/>
          </w:tcPr>
          <w:p w14:paraId="3B0EE81A" w14:textId="77777777" w:rsidR="00CD3AED" w:rsidRPr="00DC5527" w:rsidRDefault="00CD3AED" w:rsidP="00DC5527">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45EB12AC" w14:textId="77777777" w:rsidR="00CD3AED" w:rsidRPr="00DC5527" w:rsidRDefault="00CD3AED" w:rsidP="00DC5527">
            <w:pPr>
              <w:spacing w:after="0" w:line="240" w:lineRule="auto"/>
              <w:jc w:val="both"/>
              <w:rPr>
                <w:rFonts w:cs="Calibri"/>
                <w:lang w:val="fr-FR"/>
              </w:rPr>
            </w:pPr>
            <w:r>
              <w:rPr>
                <w:rFonts w:cs="Calibri"/>
                <w:lang w:val="fr-FR"/>
              </w:rPr>
              <w:t>Pas de remarques.</w:t>
            </w:r>
          </w:p>
        </w:tc>
      </w:tr>
    </w:tbl>
    <w:p w14:paraId="16040993" w14:textId="77777777" w:rsidR="001203BA" w:rsidRPr="00DC5527" w:rsidRDefault="001203BA" w:rsidP="001203BA">
      <w:pPr>
        <w:rPr>
          <w:lang w:val="fr-FR"/>
        </w:rPr>
      </w:pPr>
    </w:p>
    <w:p w14:paraId="33F006D9" w14:textId="77777777" w:rsidR="00A820D7" w:rsidRPr="00DC5527" w:rsidRDefault="00A820D7">
      <w:pPr>
        <w:rPr>
          <w:lang w:val="fr-FR"/>
        </w:rPr>
      </w:pPr>
    </w:p>
    <w:sectPr w:rsidR="00A820D7" w:rsidRPr="00DC552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3330"/>
    <w:rsid w:val="00084401"/>
    <w:rsid w:val="00096067"/>
    <w:rsid w:val="000B17B4"/>
    <w:rsid w:val="000B34BD"/>
    <w:rsid w:val="000C55F1"/>
    <w:rsid w:val="000D3972"/>
    <w:rsid w:val="000D57A0"/>
    <w:rsid w:val="000E14C5"/>
    <w:rsid w:val="000F2BB5"/>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7218"/>
    <w:rsid w:val="00315433"/>
    <w:rsid w:val="00321B4D"/>
    <w:rsid w:val="003342CF"/>
    <w:rsid w:val="00357D30"/>
    <w:rsid w:val="00367502"/>
    <w:rsid w:val="003831C0"/>
    <w:rsid w:val="003875BE"/>
    <w:rsid w:val="003A1C6D"/>
    <w:rsid w:val="003A29A4"/>
    <w:rsid w:val="003A3D34"/>
    <w:rsid w:val="003A7991"/>
    <w:rsid w:val="003B5A5B"/>
    <w:rsid w:val="003D187A"/>
    <w:rsid w:val="003E2816"/>
    <w:rsid w:val="003F24EE"/>
    <w:rsid w:val="0040465B"/>
    <w:rsid w:val="00405D51"/>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5FC8"/>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1958"/>
    <w:rsid w:val="007C59EF"/>
    <w:rsid w:val="007D7A6B"/>
    <w:rsid w:val="007E0A24"/>
    <w:rsid w:val="00800732"/>
    <w:rsid w:val="008043D3"/>
    <w:rsid w:val="00817848"/>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6553"/>
    <w:rsid w:val="00C41D89"/>
    <w:rsid w:val="00C80883"/>
    <w:rsid w:val="00C86467"/>
    <w:rsid w:val="00C86CC5"/>
    <w:rsid w:val="00C91A38"/>
    <w:rsid w:val="00CA2994"/>
    <w:rsid w:val="00CC6422"/>
    <w:rsid w:val="00CC7833"/>
    <w:rsid w:val="00CD3AED"/>
    <w:rsid w:val="00CE358B"/>
    <w:rsid w:val="00CE5F84"/>
    <w:rsid w:val="00CE7D55"/>
    <w:rsid w:val="00D06359"/>
    <w:rsid w:val="00D15F88"/>
    <w:rsid w:val="00D27E05"/>
    <w:rsid w:val="00D359A8"/>
    <w:rsid w:val="00D5452B"/>
    <w:rsid w:val="00D66002"/>
    <w:rsid w:val="00D66D82"/>
    <w:rsid w:val="00D96002"/>
    <w:rsid w:val="00D9622A"/>
    <w:rsid w:val="00DB73B8"/>
    <w:rsid w:val="00DC5527"/>
    <w:rsid w:val="00DC5C32"/>
    <w:rsid w:val="00DE6641"/>
    <w:rsid w:val="00E10660"/>
    <w:rsid w:val="00E15CFE"/>
    <w:rsid w:val="00E16FF4"/>
    <w:rsid w:val="00E2077B"/>
    <w:rsid w:val="00E213F0"/>
    <w:rsid w:val="00E21F8D"/>
    <w:rsid w:val="00E26DE4"/>
    <w:rsid w:val="00E34FF7"/>
    <w:rsid w:val="00E511E0"/>
    <w:rsid w:val="00E8626A"/>
    <w:rsid w:val="00EA440A"/>
    <w:rsid w:val="00EA4C38"/>
    <w:rsid w:val="00EA5EE5"/>
    <w:rsid w:val="00EB2346"/>
    <w:rsid w:val="00ED1A41"/>
    <w:rsid w:val="00ED2057"/>
    <w:rsid w:val="00ED31D7"/>
    <w:rsid w:val="00ED3B78"/>
    <w:rsid w:val="00F062A2"/>
    <w:rsid w:val="00F06499"/>
    <w:rsid w:val="00F068A5"/>
    <w:rsid w:val="00F11CA2"/>
    <w:rsid w:val="00F234EA"/>
    <w:rsid w:val="00F301AA"/>
    <w:rsid w:val="00F34D47"/>
    <w:rsid w:val="00F54E2C"/>
    <w:rsid w:val="00F63D28"/>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B0D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18</cp:revision>
  <dcterms:created xsi:type="dcterms:W3CDTF">2019-10-26T21:04:00Z</dcterms:created>
  <dcterms:modified xsi:type="dcterms:W3CDTF">2021-08-26T11:42:00Z</dcterms:modified>
</cp:coreProperties>
</file>