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128FAE65" w14:textId="77777777" w:rsidTr="001F3D08">
        <w:tc>
          <w:tcPr>
            <w:tcW w:w="2122" w:type="dxa"/>
          </w:tcPr>
          <w:p w14:paraId="2FF8E39A" w14:textId="77777777" w:rsidR="000D42B6" w:rsidRPr="00B07AC9" w:rsidRDefault="001F3D08" w:rsidP="00362816">
            <w:pPr>
              <w:rPr>
                <w:b/>
                <w:sz w:val="32"/>
                <w:szCs w:val="32"/>
                <w:lang w:val="nl-BE"/>
              </w:rPr>
            </w:pPr>
            <w:r>
              <w:rPr>
                <w:b/>
                <w:sz w:val="32"/>
                <w:szCs w:val="32"/>
                <w:lang w:val="nl-BE"/>
              </w:rPr>
              <w:t xml:space="preserve">ARTIKEL </w:t>
            </w:r>
            <w:r w:rsidR="00076900">
              <w:rPr>
                <w:b/>
                <w:sz w:val="32"/>
                <w:szCs w:val="32"/>
                <w:lang w:val="nl-BE"/>
              </w:rPr>
              <w:t>6:</w:t>
            </w:r>
            <w:r w:rsidR="00A667FE">
              <w:rPr>
                <w:b/>
                <w:sz w:val="32"/>
                <w:szCs w:val="32"/>
                <w:lang w:val="nl-BE"/>
              </w:rPr>
              <w:t>103</w:t>
            </w:r>
          </w:p>
        </w:tc>
        <w:tc>
          <w:tcPr>
            <w:tcW w:w="11623" w:type="dxa"/>
            <w:gridSpan w:val="2"/>
            <w:shd w:val="clear" w:color="auto" w:fill="auto"/>
          </w:tcPr>
          <w:p w14:paraId="7A405F29" w14:textId="77777777" w:rsidR="000D42B6" w:rsidRPr="00382324" w:rsidRDefault="000D42B6" w:rsidP="00362816">
            <w:pPr>
              <w:rPr>
                <w:rFonts w:asciiTheme="majorHAnsi" w:eastAsiaTheme="majorEastAsia" w:hAnsiTheme="majorHAnsi" w:cstheme="majorBidi"/>
                <w:b/>
                <w:bCs/>
                <w:color w:val="2E74B5" w:themeColor="accent1" w:themeShade="BF"/>
                <w:sz w:val="32"/>
                <w:szCs w:val="28"/>
                <w:lang w:val="nl-BE"/>
              </w:rPr>
            </w:pPr>
          </w:p>
        </w:tc>
      </w:tr>
      <w:tr w:rsidR="00031FD8" w:rsidRPr="00B01963" w14:paraId="2BF1954F" w14:textId="77777777" w:rsidTr="00602105">
        <w:tc>
          <w:tcPr>
            <w:tcW w:w="13745" w:type="dxa"/>
            <w:gridSpan w:val="3"/>
          </w:tcPr>
          <w:p w14:paraId="2D220DF8" w14:textId="77777777" w:rsidR="00031FD8" w:rsidRDefault="00031FD8" w:rsidP="00031FD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E7E9C31" w14:textId="77777777" w:rsidR="00031FD8" w:rsidRDefault="00031FD8" w:rsidP="00031FD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A3AC703" w14:textId="77777777" w:rsidR="00031FD8" w:rsidRPr="00031FD8" w:rsidRDefault="00031FD8" w:rsidP="00031FD8">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B01963" w14:paraId="5E522C4D" w14:textId="77777777" w:rsidTr="001F3D08">
        <w:tc>
          <w:tcPr>
            <w:tcW w:w="2122" w:type="dxa"/>
          </w:tcPr>
          <w:p w14:paraId="6DF9BBA8" w14:textId="77777777" w:rsidR="005B33B1" w:rsidRPr="00B07AC9" w:rsidRDefault="005B33B1" w:rsidP="00362816">
            <w:pPr>
              <w:rPr>
                <w:b/>
                <w:sz w:val="32"/>
                <w:szCs w:val="32"/>
                <w:lang w:val="nl-BE"/>
              </w:rPr>
            </w:pPr>
          </w:p>
        </w:tc>
        <w:tc>
          <w:tcPr>
            <w:tcW w:w="11623" w:type="dxa"/>
            <w:gridSpan w:val="2"/>
            <w:shd w:val="clear" w:color="auto" w:fill="auto"/>
          </w:tcPr>
          <w:p w14:paraId="20A11292" w14:textId="77777777" w:rsidR="005B33B1" w:rsidRPr="00382324" w:rsidRDefault="005B33B1" w:rsidP="00362816">
            <w:pPr>
              <w:rPr>
                <w:rFonts w:asciiTheme="majorHAnsi" w:eastAsiaTheme="majorEastAsia" w:hAnsiTheme="majorHAnsi" w:cstheme="majorBidi"/>
                <w:b/>
                <w:bCs/>
                <w:color w:val="2E74B5" w:themeColor="accent1" w:themeShade="BF"/>
                <w:sz w:val="32"/>
                <w:szCs w:val="28"/>
                <w:lang w:val="nl-BE"/>
              </w:rPr>
            </w:pPr>
          </w:p>
        </w:tc>
      </w:tr>
      <w:tr w:rsidR="00A667FE" w:rsidRPr="00362816" w14:paraId="5AFC929A" w14:textId="77777777" w:rsidTr="00B401B7">
        <w:trPr>
          <w:trHeight w:val="803"/>
        </w:trPr>
        <w:tc>
          <w:tcPr>
            <w:tcW w:w="2122" w:type="dxa"/>
          </w:tcPr>
          <w:p w14:paraId="117A67D5" w14:textId="77777777" w:rsidR="00A667FE" w:rsidRDefault="00A667FE" w:rsidP="00362816">
            <w:pPr>
              <w:spacing w:after="0" w:line="240" w:lineRule="auto"/>
              <w:jc w:val="both"/>
              <w:rPr>
                <w:rFonts w:cs="Calibri"/>
                <w:lang w:val="nl-BE"/>
              </w:rPr>
            </w:pPr>
            <w:r>
              <w:rPr>
                <w:rFonts w:cs="Calibri"/>
                <w:lang w:val="nl-BE"/>
              </w:rPr>
              <w:t>WVV</w:t>
            </w:r>
          </w:p>
        </w:tc>
        <w:tc>
          <w:tcPr>
            <w:tcW w:w="5811" w:type="dxa"/>
            <w:shd w:val="clear" w:color="auto" w:fill="auto"/>
          </w:tcPr>
          <w:p w14:paraId="1FEE1266" w14:textId="0FB52D7C" w:rsidR="00A667FE" w:rsidRPr="00200AF2" w:rsidRDefault="00200AF2" w:rsidP="00362816">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A667FE" w:rsidRPr="00200AF2">
              <w:rPr>
                <w:rStyle w:val="Hyperlink"/>
                <w:rFonts w:cstheme="minorHAnsi"/>
                <w:lang w:val="nl-NL"/>
              </w:rPr>
              <w:t>Mits inachtneming van de oproepingsformaliteiten bedoeld in de artikelen 6:95 en 6:96, kunnen alle besluiten die tot de bevoegdheid van de algemene vergadering van obligatiehouders behoren via elektronische weg of via schriftelijk akkoord worden genomen. Een besluit is in dat geval alleen dan aangenomen wanneer het akkoord wordt verkregen, via elektronische weg of via schriftelijk akkoord, van obligatiehouders die ten minste drie vierde vertegenwoordigen van het bedrag van de bestaande obligaties.</w:t>
            </w:r>
          </w:p>
          <w:p w14:paraId="0B44997E" w14:textId="77777777" w:rsidR="00A667FE" w:rsidRPr="00200AF2" w:rsidRDefault="00A667FE" w:rsidP="00362816">
            <w:pPr>
              <w:spacing w:after="0" w:line="240" w:lineRule="auto"/>
              <w:jc w:val="both"/>
              <w:rPr>
                <w:rStyle w:val="Hyperlink"/>
                <w:rFonts w:cstheme="minorHAnsi"/>
                <w:lang w:val="nl-NL"/>
              </w:rPr>
            </w:pPr>
          </w:p>
          <w:p w14:paraId="61C1205B" w14:textId="61BB3A71" w:rsidR="00A667FE" w:rsidRPr="003431AE" w:rsidRDefault="00A667FE" w:rsidP="00362816">
            <w:pPr>
              <w:spacing w:after="0" w:line="240" w:lineRule="auto"/>
              <w:jc w:val="both"/>
              <w:rPr>
                <w:rFonts w:cstheme="minorHAnsi"/>
                <w:lang w:val="nl-BE"/>
              </w:rPr>
            </w:pPr>
            <w:r w:rsidRPr="00200AF2">
              <w:rPr>
                <w:rStyle w:val="Hyperlink"/>
                <w:rFonts w:cstheme="minorHAnsi"/>
                <w:lang w:val="nl-NL"/>
              </w:rPr>
              <w:t>De Koning kan de aard en de toepassingsvoorwaarden van de in het eerste lid bedoelde elektronische weg en het te verkrijgen schriftelijk akkoord verduidelijken.</w:t>
            </w:r>
            <w:r w:rsidR="00200AF2">
              <w:rPr>
                <w:rFonts w:cstheme="minorHAnsi"/>
                <w:lang w:val="nl-NL"/>
              </w:rPr>
              <w:fldChar w:fldCharType="end"/>
            </w:r>
          </w:p>
        </w:tc>
        <w:tc>
          <w:tcPr>
            <w:tcW w:w="5812" w:type="dxa"/>
            <w:shd w:val="clear" w:color="auto" w:fill="auto"/>
          </w:tcPr>
          <w:p w14:paraId="49033BFE" w14:textId="61C1233F" w:rsidR="00A667FE" w:rsidRPr="00200AF2" w:rsidRDefault="00200AF2" w:rsidP="00362816">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A667FE" w:rsidRPr="00200AF2">
              <w:rPr>
                <w:rStyle w:val="Hyperlink"/>
                <w:rFonts w:cstheme="minorHAnsi"/>
                <w:lang w:val="fr-BE"/>
              </w:rPr>
              <w:t>Moyennant le respect des formalités de convocation visées aux articles 6:95 et 6:96, toutes les décisions qui relèvent du pouvoir de l’assemblée générale des obligataires peuvent être prises par voie électronique ou par accord écrit. Aucune décision n’est admise dans ce cas que si l’accord est obtenu, par voie électronique ou par accord écrit, d’obligataires représentant les trois quarts au moins du montant des obligations existantes.</w:t>
            </w:r>
          </w:p>
          <w:p w14:paraId="1C215F8F" w14:textId="77777777" w:rsidR="00A667FE" w:rsidRPr="00200AF2" w:rsidRDefault="00A667FE" w:rsidP="00362816">
            <w:pPr>
              <w:spacing w:after="0" w:line="240" w:lineRule="auto"/>
              <w:jc w:val="both"/>
              <w:rPr>
                <w:rStyle w:val="Hyperlink"/>
                <w:rFonts w:cstheme="minorHAnsi"/>
                <w:lang w:val="fr-BE"/>
              </w:rPr>
            </w:pPr>
          </w:p>
          <w:p w14:paraId="475BB416" w14:textId="77777777" w:rsidR="00A667FE" w:rsidRPr="00200AF2" w:rsidRDefault="00A667FE" w:rsidP="00362816">
            <w:pPr>
              <w:pStyle w:val="Geenafstand"/>
              <w:jc w:val="both"/>
              <w:rPr>
                <w:rStyle w:val="Hyperlink"/>
                <w:rFonts w:cstheme="minorHAnsi"/>
                <w:lang w:val="fr-BE"/>
              </w:rPr>
            </w:pPr>
            <w:r w:rsidRPr="00200AF2">
              <w:rPr>
                <w:rStyle w:val="Hyperlink"/>
                <w:rFonts w:cstheme="minorHAnsi"/>
                <w:lang w:val="fr-BE"/>
              </w:rPr>
              <w:t>Le Roi peut préciser la nature et les conditions d’application de la voie électronique et de l’accord écrit à obtenir visés à l’alinéa 1</w:t>
            </w:r>
            <w:r w:rsidRPr="00200AF2">
              <w:rPr>
                <w:rStyle w:val="Hyperlink"/>
                <w:rFonts w:cstheme="minorHAnsi"/>
                <w:vertAlign w:val="superscript"/>
                <w:lang w:val="fr-BE"/>
              </w:rPr>
              <w:t>er</w:t>
            </w:r>
            <w:r w:rsidRPr="00200AF2">
              <w:rPr>
                <w:rStyle w:val="Hyperlink"/>
                <w:rFonts w:cstheme="minorHAnsi"/>
                <w:lang w:val="fr-BE"/>
              </w:rPr>
              <w:t>.</w:t>
            </w:r>
          </w:p>
          <w:p w14:paraId="2418803E" w14:textId="3053F652" w:rsidR="00A667FE" w:rsidRPr="00CF4FCB" w:rsidRDefault="00200AF2" w:rsidP="00362816">
            <w:pPr>
              <w:spacing w:after="0" w:line="240" w:lineRule="auto"/>
              <w:jc w:val="both"/>
              <w:rPr>
                <w:rFonts w:cstheme="minorHAnsi"/>
                <w:lang w:val="fr-BE"/>
              </w:rPr>
            </w:pPr>
            <w:r>
              <w:rPr>
                <w:rFonts w:cstheme="minorHAnsi"/>
                <w:lang w:val="fr-BE"/>
              </w:rPr>
              <w:fldChar w:fldCharType="end"/>
            </w:r>
            <w:bookmarkStart w:id="0" w:name="_GoBack"/>
            <w:bookmarkEnd w:id="0"/>
          </w:p>
        </w:tc>
      </w:tr>
      <w:tr w:rsidR="009A7F04" w:rsidRPr="00362816" w14:paraId="0F4042A2" w14:textId="77777777" w:rsidTr="009A7F04">
        <w:trPr>
          <w:trHeight w:val="367"/>
        </w:trPr>
        <w:tc>
          <w:tcPr>
            <w:tcW w:w="2122" w:type="dxa"/>
          </w:tcPr>
          <w:p w14:paraId="27D96E34" w14:textId="48B527DF" w:rsidR="009A7F04" w:rsidRDefault="009A7F04" w:rsidP="00362816">
            <w:pPr>
              <w:spacing w:after="0" w:line="240" w:lineRule="auto"/>
              <w:jc w:val="both"/>
              <w:rPr>
                <w:rFonts w:cs="Calibri"/>
                <w:lang w:val="nl-BE"/>
              </w:rPr>
            </w:pPr>
            <w:proofErr w:type="spellStart"/>
            <w:r w:rsidRPr="00940804">
              <w:t>Ontwerp</w:t>
            </w:r>
            <w:proofErr w:type="spellEnd"/>
          </w:p>
        </w:tc>
        <w:tc>
          <w:tcPr>
            <w:tcW w:w="5811" w:type="dxa"/>
            <w:shd w:val="clear" w:color="auto" w:fill="auto"/>
          </w:tcPr>
          <w:p w14:paraId="5B658E71" w14:textId="68C7844E" w:rsidR="009A7F04" w:rsidRPr="00D41C14" w:rsidRDefault="009A7F04" w:rsidP="00362816">
            <w:pPr>
              <w:spacing w:after="0" w:line="240" w:lineRule="auto"/>
              <w:jc w:val="both"/>
              <w:rPr>
                <w:rFonts w:cstheme="minorHAnsi"/>
                <w:lang w:val="nl-NL"/>
              </w:rPr>
            </w:pPr>
            <w:proofErr w:type="spellStart"/>
            <w:r w:rsidRPr="00940804">
              <w:t>Geen</w:t>
            </w:r>
            <w:proofErr w:type="spellEnd"/>
            <w:r w:rsidRPr="00940804">
              <w:t xml:space="preserve"> </w:t>
            </w:r>
            <w:proofErr w:type="spellStart"/>
            <w:r w:rsidRPr="00940804">
              <w:t>artikel</w:t>
            </w:r>
            <w:proofErr w:type="spellEnd"/>
            <w:r>
              <w:t>.</w:t>
            </w:r>
          </w:p>
        </w:tc>
        <w:tc>
          <w:tcPr>
            <w:tcW w:w="5812" w:type="dxa"/>
            <w:shd w:val="clear" w:color="auto" w:fill="auto"/>
          </w:tcPr>
          <w:p w14:paraId="62165ED0" w14:textId="492B8C90" w:rsidR="009A7F04" w:rsidRPr="00D41C14" w:rsidRDefault="009A7F04" w:rsidP="00362816">
            <w:pPr>
              <w:spacing w:after="0" w:line="240" w:lineRule="auto"/>
              <w:jc w:val="both"/>
              <w:rPr>
                <w:rFonts w:cstheme="minorHAnsi"/>
                <w:lang w:val="fr-BE"/>
              </w:rPr>
            </w:pPr>
            <w:r>
              <w:t xml:space="preserve">Pas </w:t>
            </w:r>
            <w:proofErr w:type="spellStart"/>
            <w:r>
              <w:t>d’article</w:t>
            </w:r>
            <w:proofErr w:type="spellEnd"/>
            <w:r>
              <w:t>.</w:t>
            </w:r>
          </w:p>
        </w:tc>
      </w:tr>
      <w:tr w:rsidR="009A7F04" w:rsidRPr="009E261C" w14:paraId="5DF0872C" w14:textId="77777777" w:rsidTr="00B401B7">
        <w:trPr>
          <w:trHeight w:val="426"/>
        </w:trPr>
        <w:tc>
          <w:tcPr>
            <w:tcW w:w="2122" w:type="dxa"/>
          </w:tcPr>
          <w:p w14:paraId="2691141C" w14:textId="77777777" w:rsidR="009A7F04" w:rsidRPr="009E261C" w:rsidRDefault="009A7F04" w:rsidP="00362816">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26BD3ACF" w14:textId="77777777" w:rsidR="009A7F04" w:rsidRPr="009E261C" w:rsidRDefault="009A7F04" w:rsidP="00362816">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4485D95C" w14:textId="77777777" w:rsidR="009A7F04" w:rsidRPr="00D41C14" w:rsidRDefault="009A7F04" w:rsidP="00362816">
            <w:pPr>
              <w:spacing w:after="0" w:line="240" w:lineRule="auto"/>
              <w:jc w:val="both"/>
              <w:rPr>
                <w:rFonts w:cstheme="minorHAnsi"/>
                <w:lang w:val="fr-BE"/>
              </w:rPr>
            </w:pPr>
            <w:r>
              <w:rPr>
                <w:rFonts w:cstheme="minorHAnsi"/>
                <w:lang w:val="fr-BE"/>
              </w:rPr>
              <w:t>Pas d’article.</w:t>
            </w:r>
          </w:p>
        </w:tc>
      </w:tr>
      <w:tr w:rsidR="009A7F04" w:rsidRPr="009E261C" w14:paraId="44409054" w14:textId="77777777" w:rsidTr="00362816">
        <w:trPr>
          <w:trHeight w:val="411"/>
        </w:trPr>
        <w:tc>
          <w:tcPr>
            <w:tcW w:w="2122" w:type="dxa"/>
          </w:tcPr>
          <w:p w14:paraId="75548169" w14:textId="77777777" w:rsidR="009A7F04" w:rsidRPr="00940804" w:rsidRDefault="009A7F04" w:rsidP="00362816">
            <w:pPr>
              <w:spacing w:after="0"/>
            </w:pPr>
            <w:proofErr w:type="spellStart"/>
            <w:r>
              <w:t>MvT</w:t>
            </w:r>
            <w:proofErr w:type="spellEnd"/>
          </w:p>
        </w:tc>
        <w:tc>
          <w:tcPr>
            <w:tcW w:w="5811" w:type="dxa"/>
            <w:shd w:val="clear" w:color="auto" w:fill="auto"/>
          </w:tcPr>
          <w:p w14:paraId="45F59587" w14:textId="77777777" w:rsidR="009A7F04" w:rsidRPr="00063E4F" w:rsidRDefault="009A7F04" w:rsidP="00362816">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79762399" w14:textId="77777777" w:rsidR="009A7F04" w:rsidRPr="00063E4F" w:rsidRDefault="009A7F04" w:rsidP="00362816">
            <w:pPr>
              <w:spacing w:after="0"/>
            </w:pPr>
            <w:r>
              <w:t xml:space="preserve">Pas de </w:t>
            </w:r>
            <w:proofErr w:type="spellStart"/>
            <w:r>
              <w:t>remarques</w:t>
            </w:r>
            <w:proofErr w:type="spellEnd"/>
            <w:r>
              <w:t>.</w:t>
            </w:r>
          </w:p>
        </w:tc>
      </w:tr>
      <w:tr w:rsidR="009A7F04" w:rsidRPr="009E261C" w14:paraId="26206A49" w14:textId="77777777" w:rsidTr="00362816">
        <w:trPr>
          <w:trHeight w:val="417"/>
        </w:trPr>
        <w:tc>
          <w:tcPr>
            <w:tcW w:w="2122" w:type="dxa"/>
          </w:tcPr>
          <w:p w14:paraId="7BEDC825" w14:textId="77777777" w:rsidR="009A7F04" w:rsidRPr="00940804" w:rsidRDefault="009A7F04" w:rsidP="00362816">
            <w:pPr>
              <w:spacing w:after="0"/>
            </w:pPr>
            <w:proofErr w:type="spellStart"/>
            <w:r>
              <w:t>RvSt</w:t>
            </w:r>
            <w:proofErr w:type="spellEnd"/>
          </w:p>
        </w:tc>
        <w:tc>
          <w:tcPr>
            <w:tcW w:w="5811" w:type="dxa"/>
            <w:shd w:val="clear" w:color="auto" w:fill="auto"/>
          </w:tcPr>
          <w:p w14:paraId="6C242747" w14:textId="77777777" w:rsidR="009A7F04" w:rsidRPr="00063E4F" w:rsidRDefault="009A7F04" w:rsidP="00362816">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4203C81A" w14:textId="77777777" w:rsidR="009A7F04" w:rsidRPr="00063E4F" w:rsidRDefault="009A7F04" w:rsidP="00362816">
            <w:pPr>
              <w:spacing w:after="0"/>
            </w:pPr>
            <w:r>
              <w:t xml:space="preserve">Pas de </w:t>
            </w:r>
            <w:proofErr w:type="spellStart"/>
            <w:r>
              <w:t>remarques</w:t>
            </w:r>
            <w:proofErr w:type="spellEnd"/>
            <w:r>
              <w:t>.</w:t>
            </w:r>
          </w:p>
        </w:tc>
      </w:tr>
      <w:tr w:rsidR="00B01963" w:rsidRPr="00200AF2" w14:paraId="02DA8FF0" w14:textId="77777777" w:rsidTr="00362816">
        <w:trPr>
          <w:trHeight w:val="417"/>
        </w:trPr>
        <w:tc>
          <w:tcPr>
            <w:tcW w:w="2122" w:type="dxa"/>
          </w:tcPr>
          <w:p w14:paraId="438317A0" w14:textId="15D0AD07" w:rsidR="00B01963" w:rsidRDefault="00B01963" w:rsidP="00200AF2">
            <w:pPr>
              <w:pStyle w:val="Kop1"/>
            </w:pPr>
            <w:bookmarkStart w:id="1" w:name="_Amendement_542"/>
            <w:bookmarkStart w:id="2" w:name="_Amendement_542_1"/>
            <w:bookmarkEnd w:id="1"/>
            <w:bookmarkEnd w:id="2"/>
            <w:proofErr w:type="spellStart"/>
            <w:r>
              <w:t>Amendement</w:t>
            </w:r>
            <w:proofErr w:type="spellEnd"/>
            <w:r>
              <w:t xml:space="preserve"> 542</w:t>
            </w:r>
          </w:p>
        </w:tc>
        <w:tc>
          <w:tcPr>
            <w:tcW w:w="5811" w:type="dxa"/>
            <w:shd w:val="clear" w:color="auto" w:fill="auto"/>
          </w:tcPr>
          <w:p w14:paraId="172E345D" w14:textId="75944995" w:rsidR="00B01963" w:rsidRPr="00200AF2" w:rsidRDefault="00200AF2" w:rsidP="00362816">
            <w:pPr>
              <w:spacing w:after="0"/>
              <w:rPr>
                <w:lang w:val="nl-NL"/>
              </w:rPr>
            </w:pPr>
            <w:r w:rsidRPr="00200AF2">
              <w:rPr>
                <w:lang w:val="nl-NL"/>
              </w:rPr>
              <w:t xml:space="preserve">De tekst is een overeenkomstige herneming van artikel 5:118. </w:t>
            </w:r>
          </w:p>
        </w:tc>
        <w:tc>
          <w:tcPr>
            <w:tcW w:w="5812" w:type="dxa"/>
            <w:shd w:val="clear" w:color="auto" w:fill="auto"/>
          </w:tcPr>
          <w:p w14:paraId="629B8217" w14:textId="6F12DE00" w:rsidR="00B01963" w:rsidRPr="00200AF2" w:rsidRDefault="00200AF2" w:rsidP="00362816">
            <w:pPr>
              <w:spacing w:after="0"/>
              <w:rPr>
                <w:lang w:val="fr-FR"/>
              </w:rPr>
            </w:pPr>
            <w:r w:rsidRPr="00200AF2">
              <w:rPr>
                <w:lang w:val="fr-FR"/>
              </w:rPr>
              <w:t xml:space="preserve">Le texte est une reprise conforme de l’article </w:t>
            </w:r>
            <w:proofErr w:type="gramStart"/>
            <w:r w:rsidRPr="00200AF2">
              <w:rPr>
                <w:lang w:val="fr-FR"/>
              </w:rPr>
              <w:t>5:</w:t>
            </w:r>
            <w:proofErr w:type="gramEnd"/>
            <w:r w:rsidRPr="00200AF2">
              <w:rPr>
                <w:lang w:val="fr-FR"/>
              </w:rPr>
              <w:t xml:space="preserve">118. </w:t>
            </w:r>
          </w:p>
        </w:tc>
      </w:tr>
    </w:tbl>
    <w:p w14:paraId="449A2805"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E9FF2" w14:textId="77777777" w:rsidR="005F33ED" w:rsidRDefault="005F33ED" w:rsidP="000D42B6">
      <w:pPr>
        <w:spacing w:after="0" w:line="240" w:lineRule="auto"/>
      </w:pPr>
      <w:r>
        <w:separator/>
      </w:r>
    </w:p>
  </w:endnote>
  <w:endnote w:type="continuationSeparator" w:id="0">
    <w:p w14:paraId="64F039B8" w14:textId="77777777" w:rsidR="005F33ED" w:rsidRDefault="005F33E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D2619" w14:textId="77777777" w:rsidR="005F33ED" w:rsidRDefault="005F33ED" w:rsidP="000D42B6">
      <w:pPr>
        <w:spacing w:after="0" w:line="240" w:lineRule="auto"/>
      </w:pPr>
      <w:r>
        <w:separator/>
      </w:r>
    </w:p>
  </w:footnote>
  <w:footnote w:type="continuationSeparator" w:id="0">
    <w:p w14:paraId="73C567EF" w14:textId="77777777" w:rsidR="005F33ED" w:rsidRDefault="005F33ED"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5A5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FD8"/>
    <w:rsid w:val="00034AA1"/>
    <w:rsid w:val="00045500"/>
    <w:rsid w:val="00047A70"/>
    <w:rsid w:val="00053660"/>
    <w:rsid w:val="0006172F"/>
    <w:rsid w:val="000676A1"/>
    <w:rsid w:val="00076900"/>
    <w:rsid w:val="00077EBB"/>
    <w:rsid w:val="00083B1B"/>
    <w:rsid w:val="000923F2"/>
    <w:rsid w:val="00095FF1"/>
    <w:rsid w:val="000B434D"/>
    <w:rsid w:val="000D42B6"/>
    <w:rsid w:val="00101EDC"/>
    <w:rsid w:val="00153A4F"/>
    <w:rsid w:val="001777AA"/>
    <w:rsid w:val="00183242"/>
    <w:rsid w:val="001A0A02"/>
    <w:rsid w:val="001C4D4C"/>
    <w:rsid w:val="001F3D08"/>
    <w:rsid w:val="001F6206"/>
    <w:rsid w:val="001F70DD"/>
    <w:rsid w:val="00200AF2"/>
    <w:rsid w:val="00200CB2"/>
    <w:rsid w:val="00202051"/>
    <w:rsid w:val="00266AFF"/>
    <w:rsid w:val="00272BA1"/>
    <w:rsid w:val="002A7546"/>
    <w:rsid w:val="002B16AC"/>
    <w:rsid w:val="002E07F4"/>
    <w:rsid w:val="002E2C50"/>
    <w:rsid w:val="002F3F41"/>
    <w:rsid w:val="00300269"/>
    <w:rsid w:val="00311F1A"/>
    <w:rsid w:val="00361C46"/>
    <w:rsid w:val="0036281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C7924"/>
    <w:rsid w:val="004E317C"/>
    <w:rsid w:val="00503582"/>
    <w:rsid w:val="00512C24"/>
    <w:rsid w:val="0052140A"/>
    <w:rsid w:val="005407B7"/>
    <w:rsid w:val="0054297A"/>
    <w:rsid w:val="00552278"/>
    <w:rsid w:val="00560C08"/>
    <w:rsid w:val="0056512F"/>
    <w:rsid w:val="0057031D"/>
    <w:rsid w:val="005974AD"/>
    <w:rsid w:val="005A0621"/>
    <w:rsid w:val="005B33B1"/>
    <w:rsid w:val="005E4B0B"/>
    <w:rsid w:val="005F33ED"/>
    <w:rsid w:val="006170A4"/>
    <w:rsid w:val="00630590"/>
    <w:rsid w:val="00642F57"/>
    <w:rsid w:val="00665133"/>
    <w:rsid w:val="006F2B94"/>
    <w:rsid w:val="007061E6"/>
    <w:rsid w:val="007316C7"/>
    <w:rsid w:val="0078377D"/>
    <w:rsid w:val="007A6A5E"/>
    <w:rsid w:val="007A7077"/>
    <w:rsid w:val="007B29A3"/>
    <w:rsid w:val="007D091B"/>
    <w:rsid w:val="007D19C2"/>
    <w:rsid w:val="008145E3"/>
    <w:rsid w:val="00871559"/>
    <w:rsid w:val="008849AC"/>
    <w:rsid w:val="008A299A"/>
    <w:rsid w:val="008B2F1F"/>
    <w:rsid w:val="008D169B"/>
    <w:rsid w:val="00902B3F"/>
    <w:rsid w:val="00906087"/>
    <w:rsid w:val="00916F5F"/>
    <w:rsid w:val="00950791"/>
    <w:rsid w:val="00950DFB"/>
    <w:rsid w:val="009662AF"/>
    <w:rsid w:val="00985EF6"/>
    <w:rsid w:val="009943DD"/>
    <w:rsid w:val="0099503B"/>
    <w:rsid w:val="009A33B9"/>
    <w:rsid w:val="009A7F04"/>
    <w:rsid w:val="009D1831"/>
    <w:rsid w:val="009E261C"/>
    <w:rsid w:val="00A362F8"/>
    <w:rsid w:val="00A41BE3"/>
    <w:rsid w:val="00A46D88"/>
    <w:rsid w:val="00A5511C"/>
    <w:rsid w:val="00A667FE"/>
    <w:rsid w:val="00A97687"/>
    <w:rsid w:val="00AE3CA5"/>
    <w:rsid w:val="00AE5EE8"/>
    <w:rsid w:val="00B01963"/>
    <w:rsid w:val="00B0539A"/>
    <w:rsid w:val="00B2273C"/>
    <w:rsid w:val="00B401B7"/>
    <w:rsid w:val="00B53841"/>
    <w:rsid w:val="00BB0F3C"/>
    <w:rsid w:val="00BC15E6"/>
    <w:rsid w:val="00C23A95"/>
    <w:rsid w:val="00C43011"/>
    <w:rsid w:val="00C64210"/>
    <w:rsid w:val="00CC1091"/>
    <w:rsid w:val="00CE1421"/>
    <w:rsid w:val="00D40D5C"/>
    <w:rsid w:val="00D61286"/>
    <w:rsid w:val="00D80E35"/>
    <w:rsid w:val="00D9012C"/>
    <w:rsid w:val="00D96633"/>
    <w:rsid w:val="00DC54F2"/>
    <w:rsid w:val="00E1772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3BF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00AF2"/>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031FD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200AF2"/>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200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18C0-3287-6D41-813F-D9629F03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1730</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119</cp:revision>
  <dcterms:created xsi:type="dcterms:W3CDTF">2019-10-18T10:25:00Z</dcterms:created>
  <dcterms:modified xsi:type="dcterms:W3CDTF">2021-10-05T20:58:00Z</dcterms:modified>
</cp:coreProperties>
</file>