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5540B0EF" w14:textId="77777777" w:rsidTr="001F3D08">
        <w:tc>
          <w:tcPr>
            <w:tcW w:w="2122" w:type="dxa"/>
          </w:tcPr>
          <w:p w14:paraId="22C32AEC" w14:textId="77777777" w:rsidR="000D42B6" w:rsidRPr="00B07AC9" w:rsidRDefault="001F3D08" w:rsidP="0083053D">
            <w:pPr>
              <w:rPr>
                <w:b/>
                <w:sz w:val="32"/>
                <w:szCs w:val="32"/>
                <w:lang w:val="nl-BE"/>
              </w:rPr>
            </w:pPr>
            <w:r>
              <w:rPr>
                <w:b/>
                <w:sz w:val="32"/>
                <w:szCs w:val="32"/>
                <w:lang w:val="nl-BE"/>
              </w:rPr>
              <w:t xml:space="preserve">ARTIKEL </w:t>
            </w:r>
            <w:r w:rsidR="00076900">
              <w:rPr>
                <w:b/>
                <w:sz w:val="32"/>
                <w:szCs w:val="32"/>
                <w:lang w:val="nl-BE"/>
              </w:rPr>
              <w:t>6:</w:t>
            </w:r>
            <w:r w:rsidR="00860E15">
              <w:rPr>
                <w:b/>
                <w:sz w:val="32"/>
                <w:szCs w:val="32"/>
                <w:lang w:val="nl-BE"/>
              </w:rPr>
              <w:t>106</w:t>
            </w:r>
          </w:p>
        </w:tc>
        <w:tc>
          <w:tcPr>
            <w:tcW w:w="11623" w:type="dxa"/>
            <w:gridSpan w:val="2"/>
            <w:shd w:val="clear" w:color="auto" w:fill="auto"/>
          </w:tcPr>
          <w:p w14:paraId="345252D6" w14:textId="77777777" w:rsidR="000D42B6" w:rsidRPr="00382324" w:rsidRDefault="000D42B6" w:rsidP="0083053D">
            <w:pPr>
              <w:rPr>
                <w:rFonts w:asciiTheme="majorHAnsi" w:eastAsiaTheme="majorEastAsia" w:hAnsiTheme="majorHAnsi" w:cstheme="majorBidi"/>
                <w:b/>
                <w:bCs/>
                <w:color w:val="2E74B5" w:themeColor="accent1" w:themeShade="BF"/>
                <w:sz w:val="32"/>
                <w:szCs w:val="28"/>
                <w:lang w:val="nl-BE"/>
              </w:rPr>
            </w:pPr>
          </w:p>
        </w:tc>
      </w:tr>
      <w:tr w:rsidR="00310468" w:rsidRPr="00425A56" w14:paraId="1D635778" w14:textId="77777777" w:rsidTr="007F72BB">
        <w:tc>
          <w:tcPr>
            <w:tcW w:w="13745" w:type="dxa"/>
            <w:gridSpan w:val="3"/>
          </w:tcPr>
          <w:p w14:paraId="2DD0AED2" w14:textId="77777777" w:rsidR="00310468" w:rsidRDefault="00310468" w:rsidP="0031046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9CF7AA4" w14:textId="77777777" w:rsidR="00310468" w:rsidRDefault="00310468" w:rsidP="0031046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7A0C2F0" w14:textId="77777777" w:rsidR="00310468" w:rsidRPr="00310468" w:rsidRDefault="00310468" w:rsidP="0031046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25A56" w14:paraId="49FC2C65" w14:textId="77777777" w:rsidTr="001F3D08">
        <w:tc>
          <w:tcPr>
            <w:tcW w:w="2122" w:type="dxa"/>
          </w:tcPr>
          <w:p w14:paraId="071F47C0" w14:textId="77777777" w:rsidR="005B33B1" w:rsidRPr="00B07AC9" w:rsidRDefault="005B33B1" w:rsidP="0083053D">
            <w:pPr>
              <w:rPr>
                <w:b/>
                <w:sz w:val="32"/>
                <w:szCs w:val="32"/>
                <w:lang w:val="nl-BE"/>
              </w:rPr>
            </w:pPr>
          </w:p>
        </w:tc>
        <w:tc>
          <w:tcPr>
            <w:tcW w:w="11623" w:type="dxa"/>
            <w:gridSpan w:val="2"/>
            <w:shd w:val="clear" w:color="auto" w:fill="auto"/>
          </w:tcPr>
          <w:p w14:paraId="56104A38" w14:textId="77777777" w:rsidR="005B33B1" w:rsidRPr="00382324" w:rsidRDefault="005B33B1" w:rsidP="0083053D">
            <w:pPr>
              <w:rPr>
                <w:rFonts w:asciiTheme="majorHAnsi" w:eastAsiaTheme="majorEastAsia" w:hAnsiTheme="majorHAnsi" w:cstheme="majorBidi"/>
                <w:b/>
                <w:bCs/>
                <w:color w:val="2E74B5" w:themeColor="accent1" w:themeShade="BF"/>
                <w:sz w:val="32"/>
                <w:szCs w:val="28"/>
                <w:lang w:val="nl-BE"/>
              </w:rPr>
            </w:pPr>
          </w:p>
        </w:tc>
      </w:tr>
      <w:tr w:rsidR="00860E15" w:rsidRPr="0083053D" w14:paraId="60080118" w14:textId="77777777" w:rsidTr="00114E69">
        <w:trPr>
          <w:trHeight w:val="803"/>
        </w:trPr>
        <w:tc>
          <w:tcPr>
            <w:tcW w:w="2122" w:type="dxa"/>
          </w:tcPr>
          <w:p w14:paraId="6A4007AA" w14:textId="77777777" w:rsidR="00860E15" w:rsidRDefault="00860E15" w:rsidP="0083053D">
            <w:pPr>
              <w:spacing w:after="0" w:line="240" w:lineRule="auto"/>
              <w:jc w:val="both"/>
              <w:rPr>
                <w:rFonts w:cs="Calibri"/>
                <w:lang w:val="nl-BE"/>
              </w:rPr>
            </w:pPr>
            <w:r>
              <w:rPr>
                <w:rFonts w:cs="Calibri"/>
                <w:lang w:val="nl-BE"/>
              </w:rPr>
              <w:t>WVV</w:t>
            </w:r>
          </w:p>
        </w:tc>
        <w:tc>
          <w:tcPr>
            <w:tcW w:w="5670" w:type="dxa"/>
            <w:shd w:val="clear" w:color="auto" w:fill="auto"/>
          </w:tcPr>
          <w:p w14:paraId="3572F0F5" w14:textId="17BD07F9" w:rsidR="00860E15" w:rsidRPr="00280A10" w:rsidRDefault="00280A10" w:rsidP="0083053D">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860E15" w:rsidRPr="00280A10">
              <w:rPr>
                <w:rStyle w:val="Hyperlink"/>
                <w:rFonts w:cstheme="minorHAnsi"/>
                <w:lang w:val="nl-NL"/>
              </w:rPr>
              <w:t>§ 1. Niettegenstaande andersluidende statutaire bepaling, kunnen aandeelhouders zonder statutenwijziging op aandelen inschrijven, in voorkomend geval onder de voorwaarden bepaald in de statuten.</w:t>
            </w:r>
          </w:p>
          <w:p w14:paraId="1592A592" w14:textId="77777777" w:rsidR="00860E15" w:rsidRPr="00280A10" w:rsidRDefault="00860E15" w:rsidP="0083053D">
            <w:pPr>
              <w:pStyle w:val="Geenafstand"/>
              <w:jc w:val="both"/>
              <w:rPr>
                <w:rStyle w:val="Hyperlink"/>
                <w:rFonts w:cstheme="minorHAnsi"/>
                <w:lang w:val="nl-NL"/>
              </w:rPr>
            </w:pPr>
          </w:p>
          <w:p w14:paraId="35E69F37" w14:textId="77777777" w:rsidR="00860E15" w:rsidRPr="00280A10" w:rsidRDefault="00860E15" w:rsidP="0083053D">
            <w:pPr>
              <w:pStyle w:val="Geenafstand"/>
              <w:jc w:val="both"/>
              <w:rPr>
                <w:rStyle w:val="Hyperlink"/>
                <w:rFonts w:cstheme="minorHAnsi"/>
                <w:lang w:val="nl-NL"/>
              </w:rPr>
            </w:pPr>
            <w:r w:rsidRPr="00280A10">
              <w:rPr>
                <w:rStyle w:val="Hyperlink"/>
                <w:rFonts w:cstheme="minorHAnsi"/>
                <w:lang w:val="nl-NL"/>
              </w:rPr>
              <w:t>Niettegenstaande andersluidende statutaire bepaling, kunnen derden zonder statutenwijziging toetreden door op aandelen in te schrijven indien zij voldoen aan de statutaire vereisten om aandeelhouder te worden. De statuten kunnen bepalen dat het bevoegde orgaan een kandidaat verwerver kan weigeren, op voorwaarde dat de weigering wordt gemotiveerd.</w:t>
            </w:r>
          </w:p>
          <w:p w14:paraId="6B76DE44" w14:textId="77777777" w:rsidR="00860E15" w:rsidRPr="00280A10" w:rsidRDefault="00860E15" w:rsidP="0083053D">
            <w:pPr>
              <w:pStyle w:val="Geenafstand"/>
              <w:jc w:val="both"/>
              <w:rPr>
                <w:rStyle w:val="Hyperlink"/>
                <w:rFonts w:cstheme="minorHAnsi"/>
                <w:lang w:val="nl-NL"/>
              </w:rPr>
            </w:pPr>
          </w:p>
          <w:p w14:paraId="4A39B603" w14:textId="310C7653" w:rsidR="00860E15" w:rsidRPr="00B57892" w:rsidRDefault="00860E15" w:rsidP="0083053D">
            <w:pPr>
              <w:spacing w:after="0" w:line="240" w:lineRule="auto"/>
              <w:jc w:val="both"/>
              <w:rPr>
                <w:rFonts w:cstheme="minorHAnsi"/>
                <w:lang w:val="nl-BE"/>
              </w:rPr>
            </w:pPr>
            <w:r w:rsidRPr="00280A10">
              <w:rPr>
                <w:rStyle w:val="Hyperlink"/>
                <w:rFonts w:cstheme="minorHAnsi"/>
                <w:lang w:val="nl-NL"/>
              </w:rPr>
              <w:t>De uitgegeven aandelen moeten volledig en, niettegenstaande andersluidende bepaling, onvoorwaardelijk zijn geplaatst.</w:t>
            </w:r>
            <w:r w:rsidR="00280A10">
              <w:rPr>
                <w:rFonts w:cstheme="minorHAnsi"/>
                <w:lang w:val="nl-NL"/>
              </w:rPr>
              <w:fldChar w:fldCharType="end"/>
            </w:r>
          </w:p>
        </w:tc>
        <w:tc>
          <w:tcPr>
            <w:tcW w:w="5953" w:type="dxa"/>
            <w:shd w:val="clear" w:color="auto" w:fill="auto"/>
          </w:tcPr>
          <w:p w14:paraId="23086CBB" w14:textId="411BA302" w:rsidR="00860E15" w:rsidRPr="00280A10" w:rsidRDefault="00280A10" w:rsidP="0083053D">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860E15" w:rsidRPr="00280A10">
              <w:rPr>
                <w:rStyle w:val="Hyperlink"/>
                <w:rFonts w:cstheme="minorHAnsi"/>
                <w:lang w:val="fr-BE"/>
              </w:rPr>
              <w:t>§ 1</w:t>
            </w:r>
            <w:r w:rsidR="00860E15" w:rsidRPr="00280A10">
              <w:rPr>
                <w:rStyle w:val="Hyperlink"/>
                <w:rFonts w:cstheme="minorHAnsi"/>
                <w:vertAlign w:val="superscript"/>
                <w:lang w:val="fr-BE"/>
              </w:rPr>
              <w:t>er</w:t>
            </w:r>
            <w:r w:rsidR="00860E15" w:rsidRPr="00280A10">
              <w:rPr>
                <w:rStyle w:val="Hyperlink"/>
                <w:rFonts w:cstheme="minorHAnsi"/>
                <w:lang w:val="fr-BE"/>
              </w:rPr>
              <w:t>. Nonobstant toute disposition statutaire contraire, les actionnaires peuvent souscrire à des actions sans modification statutaire, le cas échéant dans les conditions prévues par les statuts.</w:t>
            </w:r>
          </w:p>
          <w:p w14:paraId="153FFB08" w14:textId="77777777" w:rsidR="00860E15" w:rsidRPr="00280A10" w:rsidRDefault="00860E15" w:rsidP="0083053D">
            <w:pPr>
              <w:pStyle w:val="Geenafstand"/>
              <w:jc w:val="both"/>
              <w:rPr>
                <w:rStyle w:val="Hyperlink"/>
                <w:rFonts w:cstheme="minorHAnsi"/>
                <w:lang w:val="fr-BE"/>
              </w:rPr>
            </w:pPr>
          </w:p>
          <w:p w14:paraId="528E251E" w14:textId="77777777" w:rsidR="00860E15" w:rsidRPr="00280A10" w:rsidRDefault="00860E15" w:rsidP="0083053D">
            <w:pPr>
              <w:pStyle w:val="Geenafstand"/>
              <w:jc w:val="both"/>
              <w:rPr>
                <w:rStyle w:val="Hyperlink"/>
                <w:rFonts w:cstheme="minorHAnsi"/>
                <w:lang w:val="fr-BE"/>
              </w:rPr>
            </w:pPr>
            <w:r w:rsidRPr="00280A10">
              <w:rPr>
                <w:rStyle w:val="Hyperlink"/>
                <w:rFonts w:cstheme="minorHAnsi"/>
                <w:lang w:val="fr-BE"/>
              </w:rPr>
              <w:t>Nonobstant toute disposition statutaire contraire, les tiers peuvent être admis sans modification statutaire en souscrivant à des actions s’ils satisfont aux exigences statutaires pour devenir actionnaires. Les statuts peuvent prévoir que l’organe compétent peut refuser un candidat actionnaires à condition de motiver son refus.</w:t>
            </w:r>
          </w:p>
          <w:p w14:paraId="3232C71E" w14:textId="77777777" w:rsidR="00860E15" w:rsidRPr="00280A10" w:rsidRDefault="00860E15" w:rsidP="0083053D">
            <w:pPr>
              <w:pStyle w:val="Geenafstand"/>
              <w:jc w:val="both"/>
              <w:rPr>
                <w:rStyle w:val="Hyperlink"/>
                <w:rFonts w:cstheme="minorHAnsi"/>
                <w:lang w:val="fr-BE"/>
              </w:rPr>
            </w:pPr>
          </w:p>
          <w:p w14:paraId="610D8DDB" w14:textId="336A4C16" w:rsidR="00860E15" w:rsidRPr="0094661D" w:rsidRDefault="00860E15" w:rsidP="0083053D">
            <w:pPr>
              <w:spacing w:after="0" w:line="240" w:lineRule="auto"/>
              <w:jc w:val="both"/>
              <w:rPr>
                <w:rFonts w:cstheme="minorHAnsi"/>
                <w:lang w:val="fr-BE"/>
              </w:rPr>
            </w:pPr>
            <w:r w:rsidRPr="00280A10">
              <w:rPr>
                <w:rStyle w:val="Hyperlink"/>
                <w:rFonts w:cstheme="minorHAnsi"/>
                <w:lang w:val="fr-BE"/>
              </w:rPr>
              <w:t>Les actions émises doivent être intégralement et, nonobstant toute disposition contraire, inconditionnellement souscrites.</w:t>
            </w:r>
            <w:r w:rsidR="00280A10">
              <w:rPr>
                <w:rFonts w:cstheme="minorHAnsi"/>
                <w:lang w:val="fr-BE"/>
              </w:rPr>
              <w:fldChar w:fldCharType="end"/>
            </w:r>
            <w:bookmarkStart w:id="0" w:name="_GoBack"/>
            <w:bookmarkEnd w:id="0"/>
          </w:p>
        </w:tc>
      </w:tr>
      <w:tr w:rsidR="00A83297" w:rsidRPr="0083053D" w14:paraId="3718A68B" w14:textId="77777777" w:rsidTr="00A83297">
        <w:trPr>
          <w:trHeight w:val="422"/>
        </w:trPr>
        <w:tc>
          <w:tcPr>
            <w:tcW w:w="2122" w:type="dxa"/>
          </w:tcPr>
          <w:p w14:paraId="01D10470" w14:textId="601BEEA2" w:rsidR="00A83297" w:rsidRDefault="00A83297" w:rsidP="0083053D">
            <w:pPr>
              <w:spacing w:after="0" w:line="240" w:lineRule="auto"/>
              <w:jc w:val="both"/>
              <w:rPr>
                <w:rFonts w:cs="Calibri"/>
                <w:lang w:val="nl-BE"/>
              </w:rPr>
            </w:pPr>
            <w:proofErr w:type="spellStart"/>
            <w:r w:rsidRPr="00116B0F">
              <w:t>Ontwerp</w:t>
            </w:r>
            <w:proofErr w:type="spellEnd"/>
          </w:p>
        </w:tc>
        <w:tc>
          <w:tcPr>
            <w:tcW w:w="5670" w:type="dxa"/>
            <w:shd w:val="clear" w:color="auto" w:fill="auto"/>
          </w:tcPr>
          <w:p w14:paraId="4AA3F5DC" w14:textId="2A9EA78D" w:rsidR="00A83297" w:rsidRPr="00D41C14" w:rsidRDefault="00A83297" w:rsidP="0083053D">
            <w:pPr>
              <w:spacing w:after="0" w:line="240" w:lineRule="auto"/>
              <w:jc w:val="both"/>
              <w:rPr>
                <w:rFonts w:cstheme="minorHAnsi"/>
                <w:lang w:val="nl-NL"/>
              </w:rPr>
            </w:pPr>
            <w:proofErr w:type="spellStart"/>
            <w:r w:rsidRPr="00116B0F">
              <w:t>Geen</w:t>
            </w:r>
            <w:proofErr w:type="spellEnd"/>
            <w:r w:rsidRPr="00116B0F">
              <w:t xml:space="preserve"> </w:t>
            </w:r>
            <w:proofErr w:type="spellStart"/>
            <w:r w:rsidRPr="00116B0F">
              <w:t>artikel</w:t>
            </w:r>
            <w:proofErr w:type="spellEnd"/>
            <w:r>
              <w:t>.</w:t>
            </w:r>
          </w:p>
        </w:tc>
        <w:tc>
          <w:tcPr>
            <w:tcW w:w="5953" w:type="dxa"/>
            <w:shd w:val="clear" w:color="auto" w:fill="auto"/>
          </w:tcPr>
          <w:p w14:paraId="0F1BC31B" w14:textId="238E98E0" w:rsidR="00A83297" w:rsidRPr="00D41C14" w:rsidRDefault="00A83297" w:rsidP="0083053D">
            <w:pPr>
              <w:spacing w:after="0" w:line="240" w:lineRule="auto"/>
              <w:jc w:val="both"/>
              <w:rPr>
                <w:rFonts w:cstheme="minorHAnsi"/>
                <w:lang w:val="fr-BE"/>
              </w:rPr>
            </w:pPr>
            <w:r>
              <w:t xml:space="preserve">Pas </w:t>
            </w:r>
            <w:proofErr w:type="spellStart"/>
            <w:r>
              <w:t>d’article</w:t>
            </w:r>
            <w:proofErr w:type="spellEnd"/>
            <w:r>
              <w:t>.</w:t>
            </w:r>
          </w:p>
        </w:tc>
      </w:tr>
      <w:tr w:rsidR="00A83297" w:rsidRPr="006B579E" w14:paraId="6E0D065E" w14:textId="77777777" w:rsidTr="00114E69">
        <w:trPr>
          <w:trHeight w:val="467"/>
        </w:trPr>
        <w:tc>
          <w:tcPr>
            <w:tcW w:w="2122" w:type="dxa"/>
          </w:tcPr>
          <w:p w14:paraId="2E1EDD32" w14:textId="77777777" w:rsidR="00A83297" w:rsidRPr="006B579E" w:rsidRDefault="00A83297" w:rsidP="0083053D">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1189B15" w14:textId="77777777" w:rsidR="00A83297" w:rsidRPr="006B579E" w:rsidRDefault="00A83297" w:rsidP="0083053D">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8025F40" w14:textId="77777777" w:rsidR="00A83297" w:rsidRPr="00D41C14" w:rsidRDefault="00A83297" w:rsidP="0083053D">
            <w:pPr>
              <w:spacing w:after="0" w:line="240" w:lineRule="auto"/>
              <w:jc w:val="both"/>
              <w:rPr>
                <w:rFonts w:cstheme="minorHAnsi"/>
                <w:lang w:val="fr-BE"/>
              </w:rPr>
            </w:pPr>
            <w:r>
              <w:rPr>
                <w:rFonts w:cstheme="minorHAnsi"/>
                <w:lang w:val="fr-BE"/>
              </w:rPr>
              <w:t>Pas d’article.</w:t>
            </w:r>
          </w:p>
        </w:tc>
      </w:tr>
      <w:tr w:rsidR="00A83297" w:rsidRPr="006B579E" w14:paraId="3189E10B" w14:textId="77777777" w:rsidTr="0083053D">
        <w:trPr>
          <w:trHeight w:val="422"/>
        </w:trPr>
        <w:tc>
          <w:tcPr>
            <w:tcW w:w="2122" w:type="dxa"/>
          </w:tcPr>
          <w:p w14:paraId="0952F79F" w14:textId="77777777" w:rsidR="00A83297" w:rsidRPr="00116B0F" w:rsidRDefault="00A83297" w:rsidP="0083053D">
            <w:pPr>
              <w:spacing w:after="0"/>
            </w:pPr>
            <w:proofErr w:type="spellStart"/>
            <w:r>
              <w:t>MvT</w:t>
            </w:r>
            <w:proofErr w:type="spellEnd"/>
          </w:p>
        </w:tc>
        <w:tc>
          <w:tcPr>
            <w:tcW w:w="5670" w:type="dxa"/>
            <w:shd w:val="clear" w:color="auto" w:fill="auto"/>
          </w:tcPr>
          <w:p w14:paraId="4EF24DB3" w14:textId="77777777" w:rsidR="00A83297" w:rsidRPr="00116B0F" w:rsidRDefault="00A83297" w:rsidP="0083053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409BBC0C" w14:textId="77777777" w:rsidR="00A83297" w:rsidRDefault="00A83297" w:rsidP="0083053D">
            <w:pPr>
              <w:spacing w:after="0"/>
            </w:pPr>
            <w:r>
              <w:t xml:space="preserve">Pas de </w:t>
            </w:r>
            <w:proofErr w:type="spellStart"/>
            <w:r>
              <w:t>remarques</w:t>
            </w:r>
            <w:proofErr w:type="spellEnd"/>
            <w:r>
              <w:t>.</w:t>
            </w:r>
          </w:p>
        </w:tc>
      </w:tr>
      <w:tr w:rsidR="00A83297" w:rsidRPr="006B579E" w14:paraId="4C64E7D6" w14:textId="77777777" w:rsidTr="0083053D">
        <w:trPr>
          <w:trHeight w:val="414"/>
        </w:trPr>
        <w:tc>
          <w:tcPr>
            <w:tcW w:w="2122" w:type="dxa"/>
          </w:tcPr>
          <w:p w14:paraId="118B1DD1" w14:textId="77777777" w:rsidR="00A83297" w:rsidRPr="00116B0F" w:rsidRDefault="00A83297" w:rsidP="0083053D">
            <w:pPr>
              <w:spacing w:after="0"/>
            </w:pPr>
            <w:proofErr w:type="spellStart"/>
            <w:r>
              <w:t>RvSt</w:t>
            </w:r>
            <w:proofErr w:type="spellEnd"/>
          </w:p>
        </w:tc>
        <w:tc>
          <w:tcPr>
            <w:tcW w:w="5670" w:type="dxa"/>
            <w:shd w:val="clear" w:color="auto" w:fill="auto"/>
          </w:tcPr>
          <w:p w14:paraId="2103A4F5" w14:textId="77777777" w:rsidR="00A83297" w:rsidRPr="00116B0F" w:rsidRDefault="00A83297" w:rsidP="0083053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3DC102A" w14:textId="77777777" w:rsidR="00A83297" w:rsidRDefault="00A83297" w:rsidP="0083053D">
            <w:pPr>
              <w:spacing w:after="0"/>
            </w:pPr>
            <w:r>
              <w:t xml:space="preserve">Pas de </w:t>
            </w:r>
            <w:proofErr w:type="spellStart"/>
            <w:r>
              <w:t>remarques</w:t>
            </w:r>
            <w:proofErr w:type="spellEnd"/>
            <w:r>
              <w:t>.</w:t>
            </w:r>
          </w:p>
        </w:tc>
      </w:tr>
      <w:tr w:rsidR="00425A56" w:rsidRPr="00CB0596" w14:paraId="51355A8F" w14:textId="77777777" w:rsidTr="0083053D">
        <w:trPr>
          <w:trHeight w:val="414"/>
        </w:trPr>
        <w:tc>
          <w:tcPr>
            <w:tcW w:w="2122" w:type="dxa"/>
          </w:tcPr>
          <w:p w14:paraId="524A7865" w14:textId="06DFF359" w:rsidR="00425A56" w:rsidRDefault="00425A56" w:rsidP="00280A10">
            <w:pPr>
              <w:pStyle w:val="Kop1"/>
            </w:pPr>
            <w:bookmarkStart w:id="1" w:name="_Amendement_542"/>
            <w:bookmarkStart w:id="2" w:name="_Amendement_542_1"/>
            <w:bookmarkEnd w:id="1"/>
            <w:bookmarkEnd w:id="2"/>
            <w:proofErr w:type="spellStart"/>
            <w:r>
              <w:lastRenderedPageBreak/>
              <w:t>Amendement</w:t>
            </w:r>
            <w:proofErr w:type="spellEnd"/>
            <w:r>
              <w:t xml:space="preserve"> 542</w:t>
            </w:r>
          </w:p>
        </w:tc>
        <w:tc>
          <w:tcPr>
            <w:tcW w:w="5670" w:type="dxa"/>
            <w:shd w:val="clear" w:color="auto" w:fill="auto"/>
          </w:tcPr>
          <w:p w14:paraId="0DF9AC96" w14:textId="720B88E3" w:rsidR="00425A56" w:rsidRPr="00CB0596" w:rsidRDefault="00CB0596" w:rsidP="00CB0596">
            <w:pPr>
              <w:spacing w:after="0"/>
              <w:jc w:val="both"/>
              <w:rPr>
                <w:lang w:val="nl-NL"/>
              </w:rPr>
            </w:pPr>
            <w:r w:rsidRPr="00CB0596">
              <w:rPr>
                <w:lang w:val="nl-NL"/>
              </w:rPr>
              <w:t xml:space="preserve">Het betreft een herneming van artikel 6:8, § 1, eerste en tweede lid, van het huidige ontwerp, aangevuld met de tekst van het tweede lid van artikel 5:120, § 1. </w:t>
            </w:r>
          </w:p>
        </w:tc>
        <w:tc>
          <w:tcPr>
            <w:tcW w:w="5953" w:type="dxa"/>
            <w:shd w:val="clear" w:color="auto" w:fill="auto"/>
          </w:tcPr>
          <w:p w14:paraId="3E5EAD91" w14:textId="0D246C69" w:rsidR="00425A56" w:rsidRPr="00280A10" w:rsidRDefault="00280A10" w:rsidP="00280A10">
            <w:pPr>
              <w:spacing w:after="0"/>
              <w:jc w:val="both"/>
              <w:rPr>
                <w:lang w:val="fr-FR"/>
              </w:rPr>
            </w:pPr>
            <w:r w:rsidRPr="00280A10">
              <w:rPr>
                <w:lang w:val="fr-FR"/>
              </w:rPr>
              <w:t xml:space="preserve">Il s’agit d’une reprise de l’article </w:t>
            </w:r>
            <w:proofErr w:type="gramStart"/>
            <w:r w:rsidRPr="00280A10">
              <w:rPr>
                <w:lang w:val="fr-FR"/>
              </w:rPr>
              <w:t>6:</w:t>
            </w:r>
            <w:proofErr w:type="gramEnd"/>
            <w:r w:rsidRPr="00280A10">
              <w:rPr>
                <w:lang w:val="fr-FR"/>
              </w:rPr>
              <w:t xml:space="preserve">8, § 1er, alinéas 1er et 2, du présent projet, complété par le texte du deuxième alinéa de l’article 5:120, § 1er. </w:t>
            </w:r>
          </w:p>
        </w:tc>
      </w:tr>
    </w:tbl>
    <w:p w14:paraId="561EC8A5"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6F397" w14:textId="77777777" w:rsidR="001B3B10" w:rsidRDefault="001B3B10" w:rsidP="000D42B6">
      <w:pPr>
        <w:spacing w:after="0" w:line="240" w:lineRule="auto"/>
      </w:pPr>
      <w:r>
        <w:separator/>
      </w:r>
    </w:p>
  </w:endnote>
  <w:endnote w:type="continuationSeparator" w:id="0">
    <w:p w14:paraId="4C330102" w14:textId="77777777" w:rsidR="001B3B10" w:rsidRDefault="001B3B1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D27F" w14:textId="77777777" w:rsidR="001B3B10" w:rsidRDefault="001B3B10" w:rsidP="000D42B6">
      <w:pPr>
        <w:spacing w:after="0" w:line="240" w:lineRule="auto"/>
      </w:pPr>
      <w:r>
        <w:separator/>
      </w:r>
    </w:p>
  </w:footnote>
  <w:footnote w:type="continuationSeparator" w:id="0">
    <w:p w14:paraId="11E21E63" w14:textId="77777777" w:rsidR="001B3B10" w:rsidRDefault="001B3B1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A42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101EDC"/>
    <w:rsid w:val="00114E69"/>
    <w:rsid w:val="00153A4F"/>
    <w:rsid w:val="001777AA"/>
    <w:rsid w:val="00183242"/>
    <w:rsid w:val="001A0A02"/>
    <w:rsid w:val="001B3B10"/>
    <w:rsid w:val="001C4D4C"/>
    <w:rsid w:val="001F3D08"/>
    <w:rsid w:val="001F6206"/>
    <w:rsid w:val="001F70DD"/>
    <w:rsid w:val="00200CB2"/>
    <w:rsid w:val="00202051"/>
    <w:rsid w:val="0022494E"/>
    <w:rsid w:val="00266AFF"/>
    <w:rsid w:val="00272BA1"/>
    <w:rsid w:val="00280A10"/>
    <w:rsid w:val="002A7546"/>
    <w:rsid w:val="002B16AC"/>
    <w:rsid w:val="002E07F4"/>
    <w:rsid w:val="002E2C50"/>
    <w:rsid w:val="002F3F41"/>
    <w:rsid w:val="00300269"/>
    <w:rsid w:val="00310468"/>
    <w:rsid w:val="00311F1A"/>
    <w:rsid w:val="00322343"/>
    <w:rsid w:val="00361C46"/>
    <w:rsid w:val="00392D3D"/>
    <w:rsid w:val="00393BDA"/>
    <w:rsid w:val="003A6021"/>
    <w:rsid w:val="003B05A2"/>
    <w:rsid w:val="003B77F3"/>
    <w:rsid w:val="003D46FE"/>
    <w:rsid w:val="003D55CF"/>
    <w:rsid w:val="003E49C1"/>
    <w:rsid w:val="003F5AEA"/>
    <w:rsid w:val="004148F6"/>
    <w:rsid w:val="00417C7D"/>
    <w:rsid w:val="00425A56"/>
    <w:rsid w:val="00427696"/>
    <w:rsid w:val="0044028C"/>
    <w:rsid w:val="00445434"/>
    <w:rsid w:val="00475FC8"/>
    <w:rsid w:val="00477E93"/>
    <w:rsid w:val="00482090"/>
    <w:rsid w:val="004C7924"/>
    <w:rsid w:val="00503582"/>
    <w:rsid w:val="00512C24"/>
    <w:rsid w:val="0052140A"/>
    <w:rsid w:val="005407B7"/>
    <w:rsid w:val="0054297A"/>
    <w:rsid w:val="00552278"/>
    <w:rsid w:val="00560C08"/>
    <w:rsid w:val="0056512F"/>
    <w:rsid w:val="0057031D"/>
    <w:rsid w:val="005974AD"/>
    <w:rsid w:val="005A0621"/>
    <w:rsid w:val="005B33B1"/>
    <w:rsid w:val="005E4B0B"/>
    <w:rsid w:val="006170A4"/>
    <w:rsid w:val="00630590"/>
    <w:rsid w:val="00642F57"/>
    <w:rsid w:val="00665133"/>
    <w:rsid w:val="006B579E"/>
    <w:rsid w:val="006F2B94"/>
    <w:rsid w:val="007061E6"/>
    <w:rsid w:val="00706672"/>
    <w:rsid w:val="007316C7"/>
    <w:rsid w:val="0078377D"/>
    <w:rsid w:val="007A6A5E"/>
    <w:rsid w:val="007A7077"/>
    <w:rsid w:val="007B29A3"/>
    <w:rsid w:val="007D091B"/>
    <w:rsid w:val="007D19C2"/>
    <w:rsid w:val="008145E3"/>
    <w:rsid w:val="0083053D"/>
    <w:rsid w:val="00860E15"/>
    <w:rsid w:val="00871559"/>
    <w:rsid w:val="008849AC"/>
    <w:rsid w:val="008A299A"/>
    <w:rsid w:val="008B2F1F"/>
    <w:rsid w:val="008D169B"/>
    <w:rsid w:val="00916F5F"/>
    <w:rsid w:val="00950791"/>
    <w:rsid w:val="00950DFB"/>
    <w:rsid w:val="009662AF"/>
    <w:rsid w:val="00985EF6"/>
    <w:rsid w:val="009943DD"/>
    <w:rsid w:val="0099503B"/>
    <w:rsid w:val="009A33B9"/>
    <w:rsid w:val="009D1831"/>
    <w:rsid w:val="00A362F8"/>
    <w:rsid w:val="00A41BE3"/>
    <w:rsid w:val="00A46D88"/>
    <w:rsid w:val="00A5511C"/>
    <w:rsid w:val="00A667FE"/>
    <w:rsid w:val="00A83297"/>
    <w:rsid w:val="00A97687"/>
    <w:rsid w:val="00AE3CA5"/>
    <w:rsid w:val="00AE5EE8"/>
    <w:rsid w:val="00B0539A"/>
    <w:rsid w:val="00B2273C"/>
    <w:rsid w:val="00B53841"/>
    <w:rsid w:val="00BB0F3C"/>
    <w:rsid w:val="00BB4222"/>
    <w:rsid w:val="00BC15E6"/>
    <w:rsid w:val="00C23A95"/>
    <w:rsid w:val="00C43011"/>
    <w:rsid w:val="00C64210"/>
    <w:rsid w:val="00CB0596"/>
    <w:rsid w:val="00CC1091"/>
    <w:rsid w:val="00CE1421"/>
    <w:rsid w:val="00D40D5C"/>
    <w:rsid w:val="00D61286"/>
    <w:rsid w:val="00D80E35"/>
    <w:rsid w:val="00D9012C"/>
    <w:rsid w:val="00D96633"/>
    <w:rsid w:val="00DC54F2"/>
    <w:rsid w:val="00E17723"/>
    <w:rsid w:val="00E51E36"/>
    <w:rsid w:val="00E741D5"/>
    <w:rsid w:val="00E8314B"/>
    <w:rsid w:val="00EC7E26"/>
    <w:rsid w:val="00F021BD"/>
    <w:rsid w:val="00F17084"/>
    <w:rsid w:val="00F173B9"/>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90A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80A1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1046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280A1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80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6478-713F-4846-B851-9AD7B6A8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1958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123</cp:revision>
  <dcterms:created xsi:type="dcterms:W3CDTF">2019-10-18T10:25:00Z</dcterms:created>
  <dcterms:modified xsi:type="dcterms:W3CDTF">2021-10-06T08:11:00Z</dcterms:modified>
</cp:coreProperties>
</file>